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8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Esport Strategy (méthodes avancées, études de cas pratiques), Digital Marketing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Performance Management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Content Creation (méthodes avancées, études de cas pratiques), Influence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Management (méthodes avancées, études de cas pratiques), Community Engagement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calendrier éditorial et création de contenu engageant, incluant la rédaction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posts et le développement de rapports d'activité pour améliorer la visibilité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et l'engagement de la marque...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d'influence: identification d'influenceurs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d'objectifs stratégiques, rédaction de briefs, négociation de collaborations, suivi </w:t>
      </w:r>
      <w:r>
        <w:rPr>
          <w:rFonts w:ascii="Times" w:hAnsi="Times" w:eastAsia="Times"/>
          <w:b w:val="0"/>
          <w:i w:val="0"/>
          <w:color w:val="000000"/>
          <w:sz w:val="19"/>
        </w:rPr>
        <w:t>rigoureux des performances...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des discussions, </w:t>
      </w:r>
      <w:r>
        <w:rPr>
          <w:rFonts w:ascii="Times" w:hAnsi="Times" w:eastAsia="Times"/>
          <w:b w:val="0"/>
          <w:i w:val="0"/>
          <w:color w:val="000000"/>
          <w:sz w:val="19"/>
        </w:rPr>
        <w:t>organisation d'événements virtuels pour renforcer l'engagement des utilisateurs et la fidélité à</w:t>
      </w:r>
      <w:r>
        <w:rPr>
          <w:rFonts w:ascii="Times" w:hAnsi="Times" w:eastAsia="Times"/>
          <w:b w:val="0"/>
          <w:i w:val="0"/>
          <w:color w:val="000000"/>
          <w:sz w:val="19"/>
        </w:rPr>
        <w:t>la marque..., avec coordination d'équipes pluridisciplinaires et gestion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Direction du processus de recrutement des joueurs, incluant le repérage de talents,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compétitifs, la conduite d'entretiens individuels pour constituer des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équipes performantes...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esportives axées sur la performance et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l'atteinte des objectifs, assurant l'alignement avec les objectifs organisationnels...,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Coordination de réunions régulières sur la performance pour évaluer les progrès des équipes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et élaboration de rapports détaillés pour informer les décisions stratégiques..., avec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communication, renforçant la présence de la marque sur les plateformes numériques...,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Rédaction d'articles de blog et de posts sur les réseaux sociaux, création de contenu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engageant qui résonne avec les audiences cibles et stimule l'interaction en ligne...,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</w:t>
      </w:r>
    </w:p>
    <w:p>
      <w:pPr>
        <w:autoSpaceDN w:val="0"/>
        <w:autoSpaceDE w:val="0"/>
        <w:widowControl/>
        <w:spacing w:line="230" w:lineRule="exact" w:before="5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recommandations stratégiques adaptées aux besoins des clients,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favorisant des relations à long terme et stimulant la croissance commerciale par des solutions </w:t>
      </w:r>
      <w:r>
        <w:rPr>
          <w:rFonts w:ascii="Times" w:hAnsi="Times" w:eastAsia="Times"/>
          <w:b w:val="0"/>
          <w:i w:val="0"/>
          <w:color w:val="000000"/>
          <w:sz w:val="19"/>
        </w:rPr>
        <w:t>innovantes..., avec coordination d'équipes pluridisciplinaires et gestion d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Content Creation Platforms, Analytics Tools, CRM Systems, Microsoft Office </w:t>
      </w:r>
      <w:r>
        <w:rPr>
          <w:rFonts w:ascii="Times" w:hAnsi="Times" w:eastAsia="Times"/>
          <w:b w:val="0"/>
          <w:i w:val="0"/>
          <w:color w:val="000000"/>
          <w:sz w:val="19"/>
        </w:rPr>
        <w:t>Suite, Adobe Creative Suite, Discord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chez Purple Effect (promotion de la sensibilisation à la consommation responsable et au respect mutuel </w:t>
      </w:r>
      <w:r>
        <w:rPr>
          <w:rFonts w:ascii="Times" w:hAnsi="Times" w:eastAsia="Times"/>
          <w:b w:val="0"/>
          <w:i w:val="0"/>
          <w:color w:val="000000"/>
          <w:sz w:val="19"/>
        </w:rPr>
        <w:t>dans les environnements festifs)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Passionné d'esports (participation à des événements de gaming et gestion de communauté)</w:t>
      </w:r>
    </w:p>
    <w:sectPr w:rsidR="00FC693F" w:rsidRPr="0006063C" w:rsidSect="00034616">
      <w:pgSz w:w="11906" w:h="16838"/>
      <w:pgMar w:top="262" w:right="594" w:bottom="6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