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67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Full Name</w:t>
            </w:r>
          </w:p>
        </w:tc>
        <w:tc>
          <w:tcPr>
            <w:tcW w:type="dxa" w:w="195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14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5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7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Complete Address • +XX X XX XX XX XX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email@example.com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2019</w:t>
            </w:r>
          </w:p>
        </w:tc>
        <w:tc>
          <w:tcPr>
            <w:tcW w:type="dxa" w:w="776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532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INSTITUTION NAME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Degree Name</w:t>
            </w:r>
          </w:p>
        </w:tc>
        <w:tc>
          <w:tcPr>
            <w:tcW w:type="dxa" w:w="195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City, Country</w:t>
            </w:r>
          </w:p>
        </w:tc>
      </w:tr>
      <w:tr>
        <w:trPr>
          <w:trHeight w:hRule="exact" w:val="492"/>
        </w:trPr>
        <w:tc>
          <w:tcPr>
            <w:tcW w:type="dxa" w:w="8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88" w:right="475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Specific honors, rankings, mentions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Major/Specialty (if applicable)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20" w:lineRule="exact" w:before="50" w:after="0"/>
        <w:ind w:left="1288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Corporate Finance (méthodes avancées, études de cas pratiques), Financial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Markets (méthodes avancées, études de cas pratiques), Econometrics (méthodes avancées, études de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cas pratiques), Data Modeling (méthodes avancées, études de cas pratiques), Contract Law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avancées, études de cas pratiques), Statistics (méthodes avancées, études de cas pratiques), Coding </w:t>
      </w:r>
      <w:r>
        <w:rPr>
          <w:rFonts w:ascii="Times" w:hAnsi="Times" w:eastAsia="Times"/>
          <w:b w:val="0"/>
          <w:i w:val="0"/>
          <w:color w:val="000000"/>
          <w:sz w:val="18"/>
        </w:rPr>
        <w:t>(HTML, CSS, WordPress) (méthodes avancées, études de cas pratiques)</w:t>
      </w:r>
    </w:p>
    <w:p>
      <w:pPr>
        <w:autoSpaceDN w:val="0"/>
        <w:autoSpaceDE w:val="0"/>
        <w:widowControl/>
        <w:spacing w:line="304" w:lineRule="exact" w:before="26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8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Jun 2021</w:t>
            </w:r>
          </w:p>
        </w:tc>
        <w:tc>
          <w:tcPr>
            <w:tcW w:type="dxa" w:w="822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358" w:after="0"/>
              <w:ind w:left="322" w:right="43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COMPANY NAME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Intern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Réalisation d'une analyse de marché exhaustive pour un leader des services financiers, avec</w:t>
            </w:r>
          </w:p>
        </w:tc>
        <w:tc>
          <w:tcPr>
            <w:tcW w:type="dxa" w:w="149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City, Country</w:t>
            </w:r>
          </w:p>
        </w:tc>
      </w:tr>
      <w:tr>
        <w:trPr>
          <w:trHeight w:hRule="exact" w:val="360"/>
        </w:trPr>
        <w:tc>
          <w:tcPr>
            <w:tcW w:type="dxa" w:w="9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 mois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3566"/>
            <w:vMerge/>
            <w:tcBorders/>
          </w:tcPr>
          <w:p/>
        </w:tc>
        <w:tc>
          <w:tcPr>
            <w:tcW w:type="dxa" w:w="8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benchmarking concurrentiel, visualisation des données, modélisation financière pour identifier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2"/>
        </w:trPr>
        <w:tc>
          <w:tcPr>
            <w:tcW w:type="dxa" w:w="3566"/>
            <w:vMerge/>
            <w:tcBorders/>
          </w:tcPr>
          <w:p/>
        </w:tc>
        <w:tc>
          <w:tcPr>
            <w:tcW w:type="dxa" w:w="8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des opportunités de croissance, coordination d'équipes pluridisciplinaires...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0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Exécution d'un processus de due diligence détaillé pour une acquisition potentielle dans le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secteur fintech, incluant des entretiens avec les parties prenantes, gestion de réseaux d'experts, </w:t>
      </w:r>
      <w:r>
        <w:rPr>
          <w:rFonts w:ascii="Times" w:hAnsi="Times" w:eastAsia="Times"/>
          <w:b w:val="0"/>
          <w:i w:val="0"/>
          <w:color w:val="000000"/>
          <w:sz w:val="19"/>
        </w:rPr>
        <w:t>développement de modèles financiers, coordination d'équipes...</w:t>
      </w:r>
    </w:p>
    <w:p>
      <w:pPr>
        <w:autoSpaceDN w:val="0"/>
        <w:autoSpaceDE w:val="0"/>
        <w:widowControl/>
        <w:spacing w:line="230" w:lineRule="exact" w:before="48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Développement d'un plan stratégique de lancement de produit, intégrant le positionnement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concurrentiel, la stratégie de tarification, l'analyse de scénarios pour optimiser l'entrée sur le </w:t>
      </w:r>
      <w:r>
        <w:rPr>
          <w:rFonts w:ascii="Times" w:hAnsi="Times" w:eastAsia="Times"/>
          <w:b w:val="0"/>
          <w:i w:val="0"/>
          <w:color w:val="000000"/>
          <w:sz w:val="19"/>
        </w:rPr>
        <w:t>marché et maximiser le retour sur investissement, gestion d'équipes...</w:t>
      </w:r>
    </w:p>
    <w:p>
      <w:pPr>
        <w:autoSpaceDN w:val="0"/>
        <w:autoSpaceDE w:val="0"/>
        <w:widowControl/>
        <w:spacing w:line="304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French (native), English (fluent, C1), Spanish (intermediate, B2)</w:t>
      </w:r>
    </w:p>
    <w:p>
      <w:pPr>
        <w:autoSpaceDN w:val="0"/>
        <w:autoSpaceDE w:val="0"/>
        <w:widowControl/>
        <w:spacing w:line="266" w:lineRule="exact" w:before="2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Excel (advanced), PowerPoint, Python (basics), Tableau, Alteryx (basics), SQL, R, VBA</w:t>
      </w:r>
    </w:p>
    <w:p>
      <w:pPr>
        <w:autoSpaceDN w:val="0"/>
        <w:autoSpaceDE w:val="0"/>
        <w:widowControl/>
        <w:spacing w:line="264" w:lineRule="exact" w:before="2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Financial Databases: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Bloomberg, Capital IQ, Factset</w:t>
      </w:r>
    </w:p>
    <w:p>
      <w:pPr>
        <w:autoSpaceDN w:val="0"/>
        <w:autoSpaceDE w:val="0"/>
        <w:widowControl/>
        <w:spacing w:line="304" w:lineRule="exact" w:before="86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0" w:lineRule="exact" w:before="104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Membre du HEC Football Club (participation au 'Derby des Parisiennes 2019', coordination logistique, gestion d'une</w:t>
      </w:r>
      <w:r>
        <w:rPr>
          <w:rFonts w:ascii="Times" w:hAnsi="Times" w:eastAsia="Times"/>
          <w:b w:val="0"/>
          <w:i w:val="0"/>
          <w:color w:val="000000"/>
          <w:sz w:val="19"/>
        </w:rPr>
        <w:t>équipe de 15)</w:t>
      </w:r>
    </w:p>
    <w:p>
      <w:pPr>
        <w:autoSpaceDN w:val="0"/>
        <w:autoSpaceDE w:val="0"/>
        <w:widowControl/>
        <w:spacing w:line="254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Passionné de géopolitique (engagement dans des podcasts, magazines spécialisés, groupes de discussion mensuels)</w:t>
      </w:r>
    </w:p>
    <w:p>
      <w:pPr>
        <w:autoSpaceDN w:val="0"/>
        <w:autoSpaceDE w:val="0"/>
        <w:widowControl/>
        <w:spacing w:line="252" w:lineRule="exact" w:before="3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Organisation d'événements culturels (planification, gestion des budgets, communication avec les parties prenantes)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email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