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77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Data Modeling (méthodes avancées, études de cas pratiques), Contract Law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Statistics (méthodes avancées, études de cas pratiques), Coding </w:t>
      </w:r>
      <w:r>
        <w:rPr>
          <w:rFonts w:ascii="Times" w:hAnsi="Times" w:eastAsia="Times"/>
          <w:b w:val="0"/>
          <w:i w:val="0"/>
          <w:color w:val="000000"/>
          <w:sz w:val="18"/>
        </w:rPr>
        <w:t>(HTML, CSS, WordPress)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0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market analysis for a leading financial services firm, utilizing</w:t>
            </w:r>
          </w:p>
        </w:tc>
        <w:tc>
          <w:tcPr>
            <w:tcW w:type="dxa" w:w="16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competitive benchmarking, data visualization, and financial modeling to identify growth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opportunities, with coordination of multidisciplinary teams...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Executed a detailed due diligence process for a potential acquisition in the fintech sector,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involving stakeholder interviews, expert network management, and development of financial </w:t>
      </w:r>
      <w:r>
        <w:rPr>
          <w:rFonts w:ascii="Times" w:hAnsi="Times" w:eastAsia="Times"/>
          <w:b w:val="0"/>
          <w:i w:val="0"/>
          <w:color w:val="000000"/>
          <w:sz w:val="19"/>
        </w:rPr>
        <w:t>models, with coordination of multidisciplinary teams...</w:t>
      </w:r>
    </w:p>
    <w:p>
      <w:pPr>
        <w:autoSpaceDN w:val="0"/>
        <w:autoSpaceDE w:val="0"/>
        <w:widowControl/>
        <w:spacing w:line="230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a strategic go-to-market plan for a new product launch, incorporating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competitive positioning, pricing strategy, and scenario analysis to optimize market entry and </w:t>
      </w:r>
      <w:r>
        <w:rPr>
          <w:rFonts w:ascii="Times" w:hAnsi="Times" w:eastAsia="Times"/>
          <w:b w:val="0"/>
          <w:i w:val="0"/>
          <w:color w:val="000000"/>
          <w:sz w:val="19"/>
        </w:rPr>
        <w:t>maximize ROI, with coordination of multidisciplinary teams...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Alteryx (basics), SQL, R, VBA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IQ, Factset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Member of HEC Football Club (participated in 'Derby des Parisiennes 2019', coordinated logistics, managed team of </w:t>
      </w:r>
      <w:r>
        <w:rPr>
          <w:rFonts w:ascii="Times" w:hAnsi="Times" w:eastAsia="Times"/>
          <w:b w:val="0"/>
          <w:i w:val="0"/>
          <w:color w:val="000000"/>
          <w:sz w:val="19"/>
        </w:rPr>
        <w:t>15)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Geopolitics enthusiast (engaged in podcasts, specialized magazines, and monthly discussion groups)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