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NoSQL) (méthodes avancées, études de cas pratiques),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Operating Systems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Computer Networks (méthodes avancées, études de cas pratiques), Artificial Intelligence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4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65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backend robustes pour des applications web critiques</w:t>
            </w:r>
          </w:p>
        </w:tc>
        <w:tc>
          <w:tcPr>
            <w:tcW w:type="dxa" w:w="20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(utilisation de FastAPI, intégration de PostgreSQL, mise en œuvre de Docker pour la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conteneurisation, ...),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systèmes existants avec des améliorations de code,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réduction des temps de réponse de 30%, et gestion des API RESTful,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une équipe de 10 développeurs pour la conception et la mise en œuvre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 nouvelles fonctionnalités, amélioration de la scalabilité et de la sécurité des applications, 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Innovatech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la conception et au développement de modules backend pour des applications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(utilisation de Python, gestion des bases de données avec PostgreSQL, ...),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migration des systèmes legacy vers des architectures modernes,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amélioration de l'efficacité de 20%, et gestion des tests unitaires,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 technique pour la résolution de bugs et l'optimisation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garantissant une disponibilité continue des services, 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2020</w:t>
            </w:r>
          </w:p>
        </w:tc>
        <w:tc>
          <w:tcPr>
            <w:tcW w:type="dxa" w:w="8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2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 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Contribué au développement de fonctionnalités pour des applications internes (utilisation de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Python, participation aux revues de code, ...),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documentation technique et la rédaction de manuels d'utilisation pour les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utilisateurs finaux, 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sessions de brainstorming pour l'amélioration des produits, apportant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idées innovantes pour la résolution de problèmes, ...,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Docker (Intermediate), Git (Advanced), </w:t>
      </w:r>
      <w:r>
        <w:rPr>
          <w:rFonts w:ascii="Times" w:hAnsi="Times" w:eastAsia="Times"/>
          <w:b w:val="0"/>
          <w:i w:val="0"/>
          <w:color w:val="000000"/>
          <w:sz w:val="19"/>
        </w:rPr>
        <w:t>Linux (Intermediate), RESTful API Development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Contributeur Open Source (participation à des projets communautaires, amélioration de la documentation,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nouvelles fonctionnalités)</w:t>
      </w:r>
    </w:p>
    <w:p>
      <w:pPr>
        <w:autoSpaceDN w:val="0"/>
        <w:autoSpaceDE w:val="0"/>
        <w:widowControl/>
        <w:spacing w:line="230" w:lineRule="exact" w:before="52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Programmation Compétitive (participation à des concours en ligne, résolution de problèmes algorithmiques </w:t>
      </w:r>
      <w:r>
        <w:rPr>
          <w:rFonts w:ascii="Times" w:hAnsi="Times" w:eastAsia="Times"/>
          <w:b w:val="0"/>
          <w:i w:val="0"/>
          <w:color w:val="000000"/>
          <w:sz w:val="19"/>
        </w:rPr>
        <w:t>complexes)</w:t>
      </w:r>
    </w:p>
    <w:sectPr w:rsidR="00FC693F" w:rsidRPr="0006063C" w:rsidSect="00034616">
      <w:pgSz w:w="11906" w:h="16838"/>
      <w:pgMar w:top="262" w:right="594" w:bottom="63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