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85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5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5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 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3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1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Los Angeles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276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8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(valuation, capital budgeting), Financial Markets (trading,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risk management), Econometrics (regression analysis, forecasting), Statistics (probability, statistical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inference), Data Modeling (SQL, data warehousing), Business Strategy (competitive analysis, market </w:t>
      </w:r>
      <w:r>
        <w:rPr>
          <w:rFonts w:ascii="Times" w:hAnsi="Times" w:eastAsia="Times"/>
          <w:b w:val="0"/>
          <w:i w:val="0"/>
          <w:color w:val="000000"/>
          <w:sz w:val="18"/>
        </w:rPr>
        <w:t>entry)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4" w:after="0"/>
              <w:ind w:left="462" w:right="23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280"/>
        </w:trPr>
        <w:tc>
          <w:tcPr>
            <w:tcW w:type="dxa" w:w="3566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Corporate Finance (M&amp;A, LBO), Strategic Management (business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policy, strategy formulation), Financial Statement Analysis (ratio analysis, cash flow), Investment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Analysis (portfolio management, asset allocation), Economics for Managers (microeconomics, </w:t>
      </w:r>
      <w:r>
        <w:rPr>
          <w:rFonts w:ascii="Times" w:hAnsi="Times" w:eastAsia="Times"/>
          <w:b w:val="0"/>
          <w:i w:val="0"/>
          <w:color w:val="000000"/>
          <w:sz w:val="18"/>
        </w:rPr>
        <w:t>macroeconomics), Leadership and Organizational Behavior (team dynamics, motivation)</w:t>
      </w:r>
    </w:p>
    <w:p>
      <w:pPr>
        <w:autoSpaceDN w:val="0"/>
        <w:autoSpaceDE w:val="0"/>
        <w:widowControl/>
        <w:spacing w:line="304" w:lineRule="exact" w:before="30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46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Nov 2023</w:t>
            </w:r>
          </w:p>
        </w:tc>
        <w:tc>
          <w:tcPr>
            <w:tcW w:type="dxa" w:w="78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64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USA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Conducted financial analysis for retail banking sector, including cash flow forecasting,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New York, USA</w:t>
            </w:r>
          </w:p>
        </w:tc>
      </w:tr>
      <w:tr>
        <w:trPr>
          <w:trHeight w:hRule="exact" w:val="380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58"/>
        </w:trPr>
        <w:tc>
          <w:tcPr>
            <w:tcW w:type="dxa" w:w="3566"/>
            <w:vMerge/>
            <w:tcBorders/>
          </w:tcPr>
          <w:p/>
        </w:tc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variance analysis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Assisted in the preparation of quarterly financial reports, ensuring compliance with GAAP </w:t>
      </w:r>
      <w:r>
        <w:rPr>
          <w:rFonts w:ascii="Times" w:hAnsi="Times" w:eastAsia="Times"/>
          <w:b w:val="0"/>
          <w:i w:val="0"/>
          <w:color w:val="000000"/>
          <w:sz w:val="19"/>
        </w:rPr>
        <w:t>standards</w:t>
      </w:r>
    </w:p>
    <w:p>
      <w:pPr>
        <w:autoSpaceDN w:val="0"/>
        <w:autoSpaceDE w:val="0"/>
        <w:widowControl/>
        <w:spacing w:line="252" w:lineRule="exact" w:before="28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financial models to support investment decisions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May 2025</w:t>
            </w:r>
          </w:p>
        </w:tc>
        <w:tc>
          <w:tcPr>
            <w:tcW w:type="dxa" w:w="7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6" w:after="0"/>
              <w:ind w:left="282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Telenor Group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Executed detailed market analysis for telecom sector, identifying growth opportunities and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36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372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competitive threats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24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Managed the financial planning process, including budgeting, forecasting, and variance </w:t>
      </w:r>
      <w:r>
        <w:rPr>
          <w:rFonts w:ascii="Times" w:hAnsi="Times" w:eastAsia="Times"/>
          <w:b w:val="0"/>
          <w:i w:val="0"/>
          <w:color w:val="000000"/>
          <w:sz w:val="19"/>
        </w:rPr>
        <w:t>analysis</w:t>
      </w:r>
    </w:p>
    <w:p>
      <w:pPr>
        <w:autoSpaceDN w:val="0"/>
        <w:autoSpaceDE w:val="0"/>
        <w:widowControl/>
        <w:spacing w:line="254" w:lineRule="exact" w:before="28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Collaborated with senior management to develop financial strategies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2025</w:t>
            </w:r>
          </w:p>
        </w:tc>
        <w:tc>
          <w:tcPr>
            <w:tcW w:type="dxa" w:w="8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0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PayPal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Led financial analysis for digital payment solutions, focusing on revenue forecasting, cost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38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analysis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comprehensive financial models for new product launches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Coordinated with product teams to align financial objectives with business goals</w:t>
      </w:r>
    </w:p>
    <w:p>
      <w:pPr>
        <w:autoSpaceDN w:val="0"/>
        <w:autoSpaceDE w:val="0"/>
        <w:widowControl/>
        <w:spacing w:line="304" w:lineRule="exact" w:before="42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(fluent, IELTS 8.0), Bengali (native), French (intermediate, B1)</w:t>
      </w:r>
    </w:p>
    <w:p>
      <w:pPr>
        <w:autoSpaceDN w:val="0"/>
        <w:autoSpaceDE w:val="0"/>
        <w:widowControl/>
        <w:spacing w:line="226" w:lineRule="exact" w:before="58" w:after="0"/>
        <w:ind w:left="1516" w:right="4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Python (Pandas, NumPy) (intermediate), Financial Analysis &amp; Valuation (expert), Tableau (intermediate), Alteryx </w:t>
      </w:r>
      <w:r>
        <w:rPr>
          <w:rFonts w:ascii="Times" w:hAnsi="Times" w:eastAsia="Times"/>
          <w:b w:val="0"/>
          <w:i w:val="0"/>
          <w:color w:val="000000"/>
          <w:sz w:val="19"/>
        </w:rPr>
        <w:t>(basics)</w:t>
      </w:r>
    </w:p>
    <w:p>
      <w:pPr>
        <w:autoSpaceDN w:val="0"/>
        <w:autoSpaceDE w:val="0"/>
        <w:widowControl/>
        <w:spacing w:line="266" w:lineRule="exact" w:before="2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2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Treasurer, Florida University Finance Club (managed budget, organized events)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Volunteer Financial Literacy Trainer, JAAGO Foundation (conducted workshops, developed training materials)</w:t>
      </w:r>
    </w:p>
    <w:sectPr w:rsidR="00FC693F" w:rsidRPr="0006063C" w:rsidSect="00034616">
      <w:pgSz w:w="11906" w:h="16838"/>
      <w:pgMar w:top="262" w:right="594" w:bottom="1192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