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91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85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Rahim Sheikh</w:t>
            </w:r>
          </w:p>
        </w:tc>
        <w:tc>
          <w:tcPr>
            <w:tcW w:type="dxa" w:w="151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15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7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House 12, Road 5, Dhanmondi, Dhaka-1205, Bangladesh • +880 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sheikh@example.com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3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462" w:right="41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University of Los Angeles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Bachelor of Business Administration (BBA)</w:t>
            </w:r>
          </w:p>
        </w:tc>
        <w:tc>
          <w:tcPr>
            <w:tcW w:type="dxa" w:w="15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4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Los Angeles, USA</w:t>
            </w:r>
          </w:p>
        </w:tc>
      </w:tr>
      <w:tr>
        <w:trPr>
          <w:trHeight w:hRule="exact" w:val="276"/>
        </w:trPr>
        <w:tc>
          <w:tcPr>
            <w:tcW w:type="dxa" w:w="91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Dean's List (2016-2018)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264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(méthodes avancées, études de cas pratiques), Financial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Markets (méthodes avancées, études de cas pratiques), Econometrics (méthodes avancées, études de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cas pratiques), Statistics (méthodes avancées, études de cas pratiques), Business Strategy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Organizational Behavior (méthodes avancées, études de cas </w:t>
      </w:r>
      <w:r>
        <w:rPr>
          <w:rFonts w:ascii="Times" w:hAnsi="Times" w:eastAsia="Times"/>
          <w:b w:val="0"/>
          <w:i w:val="0"/>
          <w:color w:val="000000"/>
          <w:sz w:val="18"/>
        </w:rPr>
        <w:t>pratiques)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534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8" w:after="0"/>
              <w:ind w:left="462" w:right="230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of Business Administration (MBA)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Houston, USA</w:t>
            </w:r>
          </w:p>
        </w:tc>
      </w:tr>
      <w:tr>
        <w:trPr>
          <w:trHeight w:hRule="exact" w:val="276"/>
        </w:trPr>
        <w:tc>
          <w:tcPr>
            <w:tcW w:type="dxa" w:w="3566"/>
            <w:vMerge/>
            <w:tcBorders/>
          </w:tcPr>
          <w:p/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" w:after="0"/>
              <w:ind w:left="4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Summa Cum Laude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Advanced Financial Management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Strategic Management (méthodes avancées, études de cas pratiques), Investment Analysis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Risk Management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Leadership and Ethics (méthodes avancées, études de cas pratiques), Data Analytics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>avancées, études de cas pratiques)</w:t>
      </w:r>
    </w:p>
    <w:p>
      <w:pPr>
        <w:autoSpaceDN w:val="0"/>
        <w:autoSpaceDE w:val="0"/>
        <w:widowControl/>
        <w:spacing w:line="304" w:lineRule="exact" w:before="26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4"/>
        </w:trPr>
        <w:tc>
          <w:tcPr>
            <w:tcW w:type="dxa" w:w="10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Nov 2023</w:t>
            </w:r>
          </w:p>
        </w:tc>
        <w:tc>
          <w:tcPr>
            <w:tcW w:type="dxa" w:w="790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368" w:after="0"/>
              <w:ind w:left="282" w:right="43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Standard Chartered USA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Participation à l'analyse financière pour des projets de grande envergure (évaluation des</w:t>
            </w:r>
          </w:p>
        </w:tc>
        <w:tc>
          <w:tcPr>
            <w:tcW w:type="dxa" w:w="177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New York, USA</w:t>
            </w:r>
          </w:p>
        </w:tc>
      </w:tr>
      <w:tr>
        <w:trPr>
          <w:trHeight w:hRule="exact" w:val="376"/>
        </w:trPr>
        <w:tc>
          <w:tcPr>
            <w:tcW w:type="dxa" w:w="10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12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3566"/>
            <w:vMerge/>
            <w:tcBorders/>
          </w:tcPr>
          <w:p/>
        </w:tc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risques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2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Collaboration avec des équipes pluridisciplinaires pour optimiser les processus de reporting </w:t>
      </w:r>
      <w:r>
        <w:rPr>
          <w:rFonts w:ascii="Times" w:hAnsi="Times" w:eastAsia="Times"/>
          <w:b w:val="0"/>
          <w:i w:val="0"/>
          <w:color w:val="000000"/>
          <w:sz w:val="19"/>
        </w:rPr>
        <w:t>(automatisation</w:t>
      </w:r>
    </w:p>
    <w:p>
      <w:pPr>
        <w:autoSpaceDN w:val="0"/>
        <w:autoSpaceDE w:val="0"/>
        <w:widowControl/>
        <w:spacing w:line="232" w:lineRule="exact" w:before="48" w:after="276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Contribution à la préparation de rapports financiers mensuels pour la direction (analyse des</w:t>
      </w:r>
      <w:r>
        <w:rPr>
          <w:rFonts w:ascii="Times" w:hAnsi="Times" w:eastAsia="Times"/>
          <w:b w:val="0"/>
          <w:i w:val="0"/>
          <w:color w:val="000000"/>
          <w:sz w:val="19"/>
        </w:rPr>
        <w:t>écarts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2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May 2025</w:t>
            </w:r>
          </w:p>
        </w:tc>
        <w:tc>
          <w:tcPr>
            <w:tcW w:type="dxa" w:w="7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46" w:after="0"/>
              <w:ind w:left="282" w:right="43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Telenor Group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Analyse des performances financières trimestrielles pour les unités commerciales (KPI,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Los Angeles, USA</w:t>
            </w:r>
          </w:p>
        </w:tc>
      </w:tr>
      <w:tr>
        <w:trPr>
          <w:trHeight w:hRule="exact" w:val="372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7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7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benchmarking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38" w:after="0"/>
        <w:ind w:left="1516" w:right="244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Élaboration de modèles financiers pour soutenir les décisions d'investissement (DCF, </w:t>
      </w:r>
      <w:r>
        <w:rPr>
          <w:rFonts w:ascii="Times" w:hAnsi="Times" w:eastAsia="Times"/>
          <w:b w:val="0"/>
          <w:i w:val="0"/>
          <w:color w:val="000000"/>
          <w:sz w:val="19"/>
        </w:rPr>
        <w:t>scénarios, analyse de sensibilité</w:t>
      </w:r>
    </w:p>
    <w:p>
      <w:pPr>
        <w:autoSpaceDN w:val="0"/>
        <w:autoSpaceDE w:val="0"/>
        <w:widowControl/>
        <w:spacing w:line="232" w:lineRule="exact" w:before="50" w:after="276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Coordination de la mise en place de nouveaux outils de reporting pour améliorer l'efficacité</w:t>
      </w:r>
      <w:r>
        <w:rPr>
          <w:rFonts w:ascii="Times" w:hAnsi="Times" w:eastAsia="Times"/>
          <w:b w:val="0"/>
          <w:i w:val="0"/>
          <w:color w:val="000000"/>
          <w:sz w:val="19"/>
        </w:rPr>
        <w:t>(Power BI, SQL,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04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Aug 2025</w:t>
            </w:r>
          </w:p>
        </w:tc>
        <w:tc>
          <w:tcPr>
            <w:tcW w:type="dxa" w:w="7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32" w:after="0"/>
              <w:ind w:left="282" w:right="5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PayPal Limited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Senior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Gestion de l'analyse des flux de trésorerie pour les projets stratégiques (optimisation du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Houston, USA</w:t>
            </w:r>
          </w:p>
        </w:tc>
      </w:tr>
      <w:tr>
        <w:trPr>
          <w:trHeight w:hRule="exact" w:val="380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7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3566"/>
            <w:vMerge/>
            <w:tcBorders/>
          </w:tcPr>
          <w:p/>
        </w:tc>
        <w:tc>
          <w:tcPr>
            <w:tcW w:type="dxa" w:w="7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fonds de roulement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6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Supervision de l'équipe d'analystes pour la préparation des rapports financiers consolidés </w:t>
      </w:r>
      <w:r>
        <w:rPr>
          <w:rFonts w:ascii="Times" w:hAnsi="Times" w:eastAsia="Times"/>
          <w:b w:val="0"/>
          <w:i w:val="0"/>
          <w:color w:val="000000"/>
          <w:sz w:val="19"/>
        </w:rPr>
        <w:t>(coordination</w:t>
      </w:r>
    </w:p>
    <w:p>
      <w:pPr>
        <w:autoSpaceDN w:val="0"/>
        <w:autoSpaceDE w:val="0"/>
        <w:widowControl/>
        <w:spacing w:line="232" w:lineRule="exact" w:before="48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Développement de tableaux de bord interactifs pour la visualisation des données financières </w:t>
      </w:r>
      <w:r>
        <w:rPr>
          <w:rFonts w:ascii="Times" w:hAnsi="Times" w:eastAsia="Times"/>
          <w:b w:val="0"/>
          <w:i w:val="0"/>
          <w:color w:val="000000"/>
          <w:sz w:val="19"/>
        </w:rPr>
        <w:t>(Tableau, Excel avancé, ...</w:t>
      </w:r>
    </w:p>
    <w:p>
      <w:pPr>
        <w:autoSpaceDN w:val="0"/>
        <w:autoSpaceDE w:val="0"/>
        <w:widowControl/>
        <w:spacing w:line="304" w:lineRule="exact" w:before="3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(fluent, IELTS 8.0), Bengali (native), French (intermediate, B1)</w:t>
      </w:r>
    </w:p>
    <w:p>
      <w:pPr>
        <w:autoSpaceDN w:val="0"/>
        <w:autoSpaceDE w:val="0"/>
        <w:widowControl/>
        <w:spacing w:line="220" w:lineRule="exact" w:before="64" w:after="0"/>
        <w:ind w:left="1516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Financial Modeling (expert), Excel &amp; Advanced Excel (expert), Power BI (advanced), SQL (intermediate), </w:t>
      </w:r>
      <w:r>
        <w:rPr>
          <w:rFonts w:ascii="Times" w:hAnsi="Times" w:eastAsia="Times"/>
          <w:b w:val="0"/>
          <w:i w:val="0"/>
          <w:color w:val="000000"/>
          <w:sz w:val="19"/>
        </w:rPr>
        <w:t>Python (Pandas, NumPy) (intermediate), Financial Analysis &amp; Valuation (expert)</w:t>
      </w:r>
    </w:p>
    <w:p>
      <w:pPr>
        <w:autoSpaceDN w:val="0"/>
        <w:autoSpaceDE w:val="0"/>
        <w:widowControl/>
        <w:spacing w:line="306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54" w:lineRule="exact" w:before="7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Trésorier, Florida University Finance Club (gestion des finances, organisation d'événements, ...)</w:t>
      </w:r>
    </w:p>
    <w:p>
      <w:pPr>
        <w:autoSpaceDN w:val="0"/>
        <w:autoSpaceDE w:val="0"/>
        <w:widowControl/>
        <w:spacing w:line="252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Formateur bénévole en littératie financière, JAAGO Foundation (ateliers, sensibilisation, ...)</w:t>
      </w:r>
    </w:p>
    <w:sectPr w:rsidR="00FC693F" w:rsidRPr="0006063C" w:rsidSect="00034616">
      <w:pgSz w:w="11906" w:h="16838"/>
      <w:pgMar w:top="262" w:right="594" w:bottom="778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heikh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