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492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619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Dean's List (2016-2018)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 and Banking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Finance, Investment Analysis, Financial Modeling, Digital Banking </w:t>
      </w:r>
      <w:r>
        <w:rPr>
          <w:rFonts w:ascii="Times" w:hAnsi="Times" w:eastAsia="Times"/>
          <w:b w:val="0"/>
          <w:i w:val="0"/>
          <w:color w:val="000000"/>
          <w:sz w:val="18"/>
        </w:rPr>
        <w:t>Impact, Financial Inclusion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2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Investment Banking, Risk Management, FinTech Valuation, Emerging Markets, </w:t>
      </w:r>
      <w:r>
        <w:rPr>
          <w:rFonts w:ascii="Times" w:hAnsi="Times" w:eastAsia="Times"/>
          <w:b w:val="0"/>
          <w:i w:val="0"/>
          <w:color w:val="000000"/>
          <w:sz w:val="18"/>
        </w:rPr>
        <w:t>Capstone Project</w:t>
      </w:r>
    </w:p>
    <w:p>
      <w:pPr>
        <w:autoSpaceDN w:val="0"/>
        <w:autoSpaceDE w:val="0"/>
        <w:widowControl/>
        <w:spacing w:line="304" w:lineRule="exact" w:before="3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3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Prepared monthly financial performance reports for senior management</w:t>
            </w:r>
          </w:p>
        </w:tc>
        <w:tc>
          <w:tcPr>
            <w:tcW w:type="dxa" w:w="23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98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credit risk assessments for SME clients</w:t>
      </w:r>
    </w:p>
    <w:p>
      <w:pPr>
        <w:autoSpaceDN w:val="0"/>
        <w:autoSpaceDE w:val="0"/>
        <w:widowControl/>
        <w:spacing w:line="232" w:lineRule="exact" w:before="52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budgeting and forecasting processes, achieving 98% accuracy in quarterly </w:t>
      </w:r>
      <w:r>
        <w:rPr>
          <w:rFonts w:ascii="Times" w:hAnsi="Times" w:eastAsia="Times"/>
          <w:b w:val="0"/>
          <w:i w:val="0"/>
          <w:color w:val="000000"/>
          <w:sz w:val="19"/>
        </w:rPr>
        <w:t>projections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Supported internal audit processes by providing detailed financial data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financial models for capex planning, resulting in optimized allocation of BDT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4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29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120 crore annual budget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variance analysis for monthly financial results, identifying cost-saving opportunities </w:t>
      </w:r>
      <w:r>
        <w:rPr>
          <w:rFonts w:ascii="Times" w:hAnsi="Times" w:eastAsia="Times"/>
          <w:b w:val="0"/>
          <w:i w:val="0"/>
          <w:color w:val="000000"/>
          <w:sz w:val="19"/>
        </w:rPr>
        <w:t>worth BDT 8 crore annually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Prepared investor presentations and management reports for board meetings</w:t>
      </w:r>
    </w:p>
    <w:p>
      <w:pPr>
        <w:autoSpaceDN w:val="0"/>
        <w:autoSpaceDE w:val="0"/>
        <w:widowControl/>
        <w:spacing w:line="254" w:lineRule="exact" w:before="32" w:after="278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Implemented Power BI dashboards for real-time KPI tracking across departments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2" w:lineRule="exact" w:before="136" w:after="0"/>
              <w:ind w:left="10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due diligence for potential partnerships and M&amp;A opportunities, evaluating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6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Ongoing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3566"/>
            <w:vMerge/>
            <w:tcBorders/>
          </w:tcPr>
          <w:p/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deals worth over BDT 200 crore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Optimized working capital management, reducing cash conversion cycle by 18 days</w:t>
      </w:r>
    </w:p>
    <w:p>
      <w:pPr>
        <w:autoSpaceDN w:val="0"/>
        <w:autoSpaceDE w:val="0"/>
        <w:widowControl/>
        <w:spacing w:line="254" w:lineRule="exact" w:before="3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pricing models for new digital financial services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Mentored junior analysts and established standardized financial reporting templates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IELTS 8.0),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(expert), Advanced Excel (expert), Power BI (advanced), SQL (intermediate), Python (Pandas, NumPy, </w:t>
      </w:r>
      <w:r>
        <w:rPr>
          <w:rFonts w:ascii="Times" w:hAnsi="Times" w:eastAsia="Times"/>
          <w:b w:val="0"/>
          <w:i w:val="0"/>
          <w:color w:val="000000"/>
          <w:sz w:val="19"/>
        </w:rPr>
        <w:t>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Dhaka University Finance Club (managed BDT 5 lakh budget, organized 8 workshops for 500+ students, </w:t>
      </w:r>
      <w:r>
        <w:rPr>
          <w:rFonts w:ascii="Times" w:hAnsi="Times" w:eastAsia="Times"/>
          <w:b w:val="0"/>
          <w:i w:val="0"/>
          <w:color w:val="000000"/>
          <w:sz w:val="19"/>
        </w:rPr>
        <w:t>enhancing financial literacy and engagement)</w:t>
      </w:r>
    </w:p>
    <w:p>
      <w:pPr>
        <w:autoSpaceDN w:val="0"/>
        <w:autoSpaceDE w:val="0"/>
        <w:widowControl/>
        <w:spacing w:line="230" w:lineRule="exact" w:before="52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monthly sessions on personal finance and </w:t>
      </w:r>
      <w:r>
        <w:rPr>
          <w:rFonts w:ascii="Times" w:hAnsi="Times" w:eastAsia="Times"/>
          <w:b w:val="0"/>
          <w:i w:val="0"/>
          <w:color w:val="000000"/>
          <w:sz w:val="19"/>
        </w:rPr>
        <w:t>budgeting for underprivileged youth, fostering financial empowerment)</w:t>
      </w:r>
    </w:p>
    <w:sectPr w:rsidR="00FC693F" w:rsidRPr="0006063C" w:rsidSect="00034616">
      <w:pgSz w:w="11906" w:h="16838"/>
      <w:pgMar w:top="262" w:right="594" w:bottom="98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