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2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93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4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4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rahim.sheikh@example.com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84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43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4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492"/>
        </w:trPr>
        <w:tc>
          <w:tcPr>
            <w:tcW w:type="dxa" w:w="92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619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Dean's List (2016-2018)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Finance and Banking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8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Investment </w:t>
      </w:r>
      <w:r>
        <w:rPr>
          <w:rFonts w:ascii="Times" w:hAnsi="Times" w:eastAsia="Times"/>
          <w:b w:val="0"/>
          <w:i w:val="0"/>
          <w:color w:val="000000"/>
          <w:sz w:val="18"/>
        </w:rPr>
        <w:t>Analysis (méthodes avancées, études de cas pratiques), Financial Modeling (méthodes avancées,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études de cas pratiques), Digital Banking (thesis)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>Financial Inclusion (méthodes avancées, études de cas 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4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8" w:after="0"/>
              <w:ind w:left="462" w:right="216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36"/>
        </w:trPr>
        <w:tc>
          <w:tcPr>
            <w:tcW w:type="dxa" w:w="3566"/>
            <w:vMerge/>
            <w:tcBorders/>
          </w:tcPr>
          <w:p/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3566"/>
            <w:vMerge/>
            <w:tcBorders/>
          </w:tcPr>
          <w:p/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Finance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48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Investment Banking (méthodes avancées, études de cas pratiques), Risk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Management (méthodes avancées, études de cas pratiques), FinTech Valuation (capstone)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Emerging Markets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>Strategic Financial Planning (méthodes avancées, études de cas pratiques)</w:t>
      </w:r>
    </w:p>
    <w:p>
      <w:pPr>
        <w:autoSpaceDN w:val="0"/>
        <w:autoSpaceDE w:val="0"/>
        <w:widowControl/>
        <w:spacing w:line="304" w:lineRule="exact" w:before="30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9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Jul 2018</w:t>
            </w:r>
          </w:p>
        </w:tc>
        <w:tc>
          <w:tcPr>
            <w:tcW w:type="dxa" w:w="75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0" w:val="left"/>
              </w:tabs>
              <w:autoSpaceDE w:val="0"/>
              <w:widowControl/>
              <w:spacing w:line="184" w:lineRule="exact" w:before="378" w:after="0"/>
              <w:ind w:left="342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Bangladesh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Préparation de rapports mensuels de performance financière pour la direction</w:t>
            </w:r>
          </w:p>
        </w:tc>
        <w:tc>
          <w:tcPr>
            <w:tcW w:type="dxa" w:w="21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Gulshan, Dhaka</w:t>
            </w:r>
          </w:p>
        </w:tc>
      </w:tr>
      <w:tr>
        <w:trPr>
          <w:trHeight w:hRule="exact" w:val="402"/>
        </w:trPr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4" w:lineRule="exact" w:before="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Conduite d'évaluations des risques de crédit pour les clients PME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Assistance dans les processus de budgétisation et de prévision</w:t>
      </w:r>
    </w:p>
    <w:p>
      <w:pPr>
        <w:autoSpaceDN w:val="0"/>
        <w:autoSpaceDE w:val="0"/>
        <w:widowControl/>
        <w:spacing w:line="230" w:lineRule="exact" w:before="56" w:after="278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Soutien aux processus d'audit interne en fournissant des analyses détaillées des données </w:t>
      </w:r>
      <w:r>
        <w:rPr>
          <w:rFonts w:ascii="Times" w:hAnsi="Times" w:eastAsia="Times"/>
          <w:b w:val="0"/>
          <w:i w:val="0"/>
          <w:color w:val="000000"/>
          <w:sz w:val="19"/>
        </w:rPr>
        <w:t>financières...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2020</w:t>
            </w:r>
          </w:p>
        </w:tc>
        <w:tc>
          <w:tcPr>
            <w:tcW w:type="dxa" w:w="7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2" w:after="0"/>
              <w:ind w:left="28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Grameenphone Ltd. (Telenor Group)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modèles financiers pour la planification des investissements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Mohakhali, Dhaka</w:t>
            </w:r>
          </w:p>
        </w:tc>
      </w:tr>
      <w:tr>
        <w:trPr>
          <w:trHeight w:hRule="exact" w:val="40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28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Conduite d'analyses de variance pour les résultats financiers mensuels</w:t>
      </w:r>
    </w:p>
    <w:p>
      <w:pPr>
        <w:autoSpaceDN w:val="0"/>
        <w:autoSpaceDE w:val="0"/>
        <w:widowControl/>
        <w:spacing w:line="232" w:lineRule="exact" w:before="52" w:after="0"/>
        <w:ind w:left="1516" w:right="259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Préparation de présentations pour les investisseurs et de rapports de gestion pour les </w:t>
      </w:r>
      <w:r>
        <w:rPr>
          <w:rFonts w:ascii="Times" w:hAnsi="Times" w:eastAsia="Times"/>
          <w:b w:val="0"/>
          <w:i w:val="0"/>
          <w:color w:val="000000"/>
          <w:sz w:val="19"/>
        </w:rPr>
        <w:t>réunions du conseil d'administrat…</w:t>
      </w:r>
    </w:p>
    <w:p>
      <w:pPr>
        <w:autoSpaceDN w:val="0"/>
        <w:autoSpaceDE w:val="0"/>
        <w:widowControl/>
        <w:spacing w:line="230" w:lineRule="exact" w:before="52" w:after="276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tableaux de bord Power BI pour le suivi en temps réel des KPI dans tous </w:t>
      </w:r>
      <w:r>
        <w:rPr>
          <w:rFonts w:ascii="Times" w:hAnsi="Times" w:eastAsia="Times"/>
          <w:b w:val="0"/>
          <w:i w:val="0"/>
          <w:color w:val="000000"/>
          <w:sz w:val="19"/>
        </w:rPr>
        <w:t>les départements...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Jan 2023</w:t>
            </w:r>
          </w:p>
        </w:tc>
        <w:tc>
          <w:tcPr>
            <w:tcW w:type="dxa" w:w="7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0" w:val="left"/>
              </w:tabs>
              <w:autoSpaceDE w:val="0"/>
              <w:widowControl/>
              <w:spacing w:line="184" w:lineRule="exact" w:before="144" w:after="0"/>
              <w:ind w:left="10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bKash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Conduite de due diligence financière pour des partenariats potentiels et des opportunités de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Banani, Dhaka</w:t>
            </w:r>
          </w:p>
        </w:tc>
      </w:tr>
      <w:tr>
        <w:trPr>
          <w:trHeight w:hRule="exact" w:val="374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En cours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M&amp;A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8" w:after="0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 la gestion du fonds de roulement, réduisant le cycle de conversion de </w:t>
      </w:r>
      <w:r>
        <w:rPr>
          <w:rFonts w:ascii="Times" w:hAnsi="Times" w:eastAsia="Times"/>
          <w:b w:val="0"/>
          <w:i w:val="0"/>
          <w:color w:val="000000"/>
          <w:sz w:val="19"/>
        </w:rPr>
        <w:t>trésorerie de 18 jours...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Développement de modèles de tarification pour de nouveaux services financiers numériques</w:t>
      </w:r>
    </w:p>
    <w:p>
      <w:pPr>
        <w:autoSpaceDN w:val="0"/>
        <w:autoSpaceDE w:val="0"/>
        <w:widowControl/>
        <w:spacing w:line="232" w:lineRule="exact" w:before="52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Encadrement des analystes juniors et établissement de modèles standardisés de reporting </w:t>
      </w:r>
      <w:r>
        <w:rPr>
          <w:rFonts w:ascii="Times" w:hAnsi="Times" w:eastAsia="Times"/>
          <w:b w:val="0"/>
          <w:i w:val="0"/>
          <w:color w:val="000000"/>
          <w:sz w:val="19"/>
        </w:rPr>
        <w:t>financier...</w:t>
      </w:r>
    </w:p>
    <w:p>
      <w:pPr>
        <w:autoSpaceDN w:val="0"/>
        <w:autoSpaceDE w:val="0"/>
        <w:widowControl/>
        <w:spacing w:line="304" w:lineRule="exact" w:before="3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Bengali (native), English (fluent, IELTS 8.0), French (intermediate, B1)</w:t>
      </w:r>
    </w:p>
    <w:p>
      <w:pPr>
        <w:autoSpaceDN w:val="0"/>
        <w:autoSpaceDE w:val="0"/>
        <w:widowControl/>
        <w:spacing w:line="220" w:lineRule="exact" w:before="64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(expert), Advanced Excel (expert), Power BI (advanced), SQL (intermediate), Python (Pandas, NumPy, </w:t>
      </w:r>
      <w:r>
        <w:rPr>
          <w:rFonts w:ascii="Times" w:hAnsi="Times" w:eastAsia="Times"/>
          <w:b w:val="0"/>
          <w:i w:val="0"/>
          <w:color w:val="000000"/>
          <w:sz w:val="19"/>
        </w:rPr>
        <w:t>intermediate), Financial Analysis (expert)</w:t>
      </w:r>
    </w:p>
    <w:p>
      <w:pPr>
        <w:autoSpaceDN w:val="0"/>
        <w:autoSpaceDE w:val="0"/>
        <w:widowControl/>
        <w:spacing w:line="306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Trésorier, Dhaka University Finance Club (gestion d'un budget de BDT 5 lakh, organisation de 8 ateliers financiers </w:t>
      </w:r>
      <w:r>
        <w:rPr>
          <w:rFonts w:ascii="Times" w:hAnsi="Times" w:eastAsia="Times"/>
          <w:b w:val="0"/>
          <w:i w:val="0"/>
          <w:color w:val="000000"/>
          <w:sz w:val="19"/>
        </w:rPr>
        <w:t>pour 500+ étudiants)</w:t>
      </w:r>
    </w:p>
    <w:p>
      <w:pPr>
        <w:autoSpaceDN w:val="0"/>
        <w:autoSpaceDE w:val="0"/>
        <w:widowControl/>
        <w:spacing w:line="230" w:lineRule="exact" w:before="5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Formateur bénévole en littératie financière, JAAGO Foundation (sessions mensuelles sur la finance personnelle et la </w:t>
      </w:r>
      <w:r>
        <w:rPr>
          <w:rFonts w:ascii="Times" w:hAnsi="Times" w:eastAsia="Times"/>
          <w:b w:val="0"/>
          <w:i w:val="0"/>
          <w:color w:val="000000"/>
          <w:sz w:val="19"/>
        </w:rPr>
        <w:t>budgétisation pour la jeunesse défavorisée)</w:t>
      </w:r>
    </w:p>
    <w:sectPr w:rsidR="00FC693F" w:rsidRPr="0006063C" w:rsidSect="00034616">
      <w:pgSz w:w="11906" w:h="16838"/>
      <w:pgMar w:top="262" w:right="594" w:bottom="462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ahim.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