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2886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46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84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5348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5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1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</w:t>
            </w:r>
          </w:p>
        </w:tc>
        <w:tc>
          <w:tcPr>
            <w:tcW w:type="dxa" w:w="5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28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0" w:right="27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(complexity analysis, algorithm design), Algorithms (sorting,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searching, graph algorithms), Machine Learning (supervised, unsupervised learning, neural networks),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normalization, indexing techniques), Operating Systems (process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management, memory management), Computer Networks (protocols, network security, TCP/IP)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432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robustes APIs backend avec Python et FastAPI pour des applications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web évolutives, améliorant l'efficacité du traitement des données et les capacités d'intégration,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coordination d'équipe interfonctionnelle...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 et réduisant l'intervention manuelle de 40%, assurant une livraison logicielle </w:t>
      </w:r>
      <w:r>
        <w:rPr>
          <w:rFonts w:ascii="Times" w:hAnsi="Times" w:eastAsia="Times"/>
          <w:b w:val="0"/>
          <w:i w:val="0"/>
          <w:color w:val="000000"/>
          <w:sz w:val="19"/>
        </w:rPr>
        <w:t>fluide, avec coordination d'équipe interfonctionnelle...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requêtes de bases de données complexes, réalisant une réduction de 30% du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chargement, améliorant significativement les performances des applications et </w:t>
      </w:r>
      <w:r>
        <w:rPr>
          <w:rFonts w:ascii="Times" w:hAnsi="Times" w:eastAsia="Times"/>
          <w:b w:val="0"/>
          <w:i w:val="0"/>
          <w:color w:val="000000"/>
          <w:sz w:val="19"/>
        </w:rPr>
        <w:t>l'expérience utilisateur, avec coordination d'équipe interfonctionnelle...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les normes de codage, la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 et la résolution collaborative de problèmes...</w:t>
      </w:r>
    </w:p>
    <w:p>
      <w:pPr>
        <w:autoSpaceDN w:val="0"/>
        <w:autoSpaceDE w:val="0"/>
        <w:widowControl/>
        <w:spacing w:line="230" w:lineRule="exact" w:before="52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présentant des solutions innovantes en développement logiciel et travail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d'équipe...</w:t>
      </w:r>
    </w:p>
    <w:p>
      <w:pPr>
        <w:autoSpaceDN w:val="0"/>
        <w:autoSpaceDE w:val="0"/>
        <w:widowControl/>
        <w:spacing w:line="232" w:lineRule="exact" w:before="5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actif d'une communauté technologique, organisant des ateliers et séminaires sur les technologies émergentes </w:t>
      </w:r>
      <w:r>
        <w:rPr>
          <w:rFonts w:ascii="Times" w:hAnsi="Times" w:eastAsia="Times"/>
          <w:b w:val="0"/>
          <w:i w:val="0"/>
          <w:color w:val="000000"/>
          <w:sz w:val="19"/>
        </w:rPr>
        <w:t>et les tendances de l'industrie...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