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capabilities, with cross-functional team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and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delivery, with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cross-functional team coordination and 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significantly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improving application performance and user experience, with cross-functional team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and project management...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problem-solving...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Participated in local hackathons, showcasing innovative solutions in software development and teamwork...</w:t>
      </w:r>
    </w:p>
    <w:p>
      <w:pPr>
        <w:autoSpaceDN w:val="0"/>
        <w:autoSpaceDE w:val="0"/>
        <w:widowControl/>
        <w:spacing w:line="230" w:lineRule="exact" w:before="56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Active member of a tech community, organizing workshops and seminars on emerging technologies and industry </w:t>
      </w:r>
      <w:r>
        <w:rPr>
          <w:rFonts w:ascii="Times" w:hAnsi="Times" w:eastAsia="Times"/>
          <w:b w:val="0"/>
          <w:i w:val="0"/>
          <w:color w:val="000000"/>
          <w:sz w:val="19"/>
        </w:rPr>
        <w:t>trends...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