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92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934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Rahim Sheikh</w:t>
            </w:r>
          </w:p>
        </w:tc>
        <w:tc>
          <w:tcPr>
            <w:tcW w:type="dxa" w:w="143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14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0" w:right="0" w:firstLine="0"/>
              <w:jc w:val="center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78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House 12, Road 5, Dhanmondi, Dhaka-1205, Bangladesh • +8801712345678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rahim.sheikh@example.com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2014</w:t>
            </w:r>
          </w:p>
        </w:tc>
        <w:tc>
          <w:tcPr>
            <w:tcW w:type="dxa" w:w="82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43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University of Dhaka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Bachelor of Business Administration (BBA)</w:t>
            </w:r>
          </w:p>
        </w:tc>
        <w:tc>
          <w:tcPr>
            <w:tcW w:type="dxa" w:w="143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76"/>
        </w:trPr>
        <w:tc>
          <w:tcPr>
            <w:tcW w:type="dxa" w:w="924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" w:after="0"/>
              <w:ind w:left="128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Dean's List (2016-2018)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18" w:lineRule="exact" w:before="52" w:after="264"/>
        <w:ind w:left="1288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Corporate Finance (méthodes avancées, études de cas pratiques), Financial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Markets (méthodes avancées, études de cas pratiques), Econometrics (méthodes avancées, études de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cas pratiques), Statistics (méthodes avancées, études de cas pratiques), Business Strategy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avancées, études de cas pratiques), Marketing Management (méthodes avancées, études de cas </w:t>
      </w:r>
      <w:r>
        <w:rPr>
          <w:rFonts w:ascii="Times" w:hAnsi="Times" w:eastAsia="Times"/>
          <w:b w:val="0"/>
          <w:i w:val="0"/>
          <w:color w:val="000000"/>
          <w:sz w:val="18"/>
        </w:rPr>
        <w:t>pratiques)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534"/>
        </w:trPr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2019</w:t>
            </w:r>
          </w:p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118" w:after="0"/>
              <w:ind w:left="322" w:right="216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North South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Master of Business Administration (MBA)</w:t>
            </w:r>
          </w:p>
        </w:tc>
        <w:tc>
          <w:tcPr>
            <w:tcW w:type="dxa" w:w="3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276"/>
        </w:trPr>
        <w:tc>
          <w:tcPr>
            <w:tcW w:type="dxa" w:w="3566"/>
            <w:vMerge/>
            <w:tcBorders/>
          </w:tcPr>
          <w:p/>
        </w:tc>
        <w:tc>
          <w:tcPr>
            <w:tcW w:type="dxa" w:w="6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" w:after="0"/>
              <w:ind w:left="32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Summa Cum Laude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20" w:lineRule="exact" w:before="50" w:after="0"/>
        <w:ind w:left="1288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8"/>
        </w:rPr>
        <w:t xml:space="preserve">Relevant coursework: Advanced Financial Management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Investment Analysis (méthodes avancées, études de cas pratiques), Strategic Management (méthodes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avancées, études de cas pratiques), Risk Management (méthodes avancées, études de cas pratiques), </w:t>
      </w:r>
      <w:r>
        <w:rPr>
          <w:rFonts w:ascii="Times" w:hAnsi="Times" w:eastAsia="Times"/>
          <w:b w:val="0"/>
          <w:i w:val="0"/>
          <w:color w:val="000000"/>
          <w:sz w:val="18"/>
        </w:rPr>
        <w:t xml:space="preserve">Corporate Governance (méthodes avancées, études de cas pratiques), Data Analysis (R, Python) </w:t>
      </w:r>
      <w:r>
        <w:rPr>
          <w:rFonts w:ascii="Times" w:hAnsi="Times" w:eastAsia="Times"/>
          <w:b w:val="0"/>
          <w:i w:val="0"/>
          <w:color w:val="000000"/>
          <w:sz w:val="18"/>
        </w:rPr>
        <w:t>(méthodes avancées, études de cas pratiques)</w:t>
      </w:r>
    </w:p>
    <w:p>
      <w:pPr>
        <w:autoSpaceDN w:val="0"/>
        <w:autoSpaceDE w:val="0"/>
        <w:widowControl/>
        <w:spacing w:line="304" w:lineRule="exact" w:before="26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4"/>
        </w:trPr>
        <w:tc>
          <w:tcPr>
            <w:tcW w:type="dxa" w:w="94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Jul 2018</w:t>
            </w:r>
          </w:p>
        </w:tc>
        <w:tc>
          <w:tcPr>
            <w:tcW w:type="dxa" w:w="756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70" w:val="left"/>
              </w:tabs>
              <w:autoSpaceDE w:val="0"/>
              <w:widowControl/>
              <w:spacing w:line="184" w:lineRule="exact" w:before="368" w:after="0"/>
              <w:ind w:left="342" w:right="864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Standard Chartered Bangladesh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Junior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Analyse financière des portefeuilles clients pour l'amélioration des stratégies</w:t>
            </w:r>
          </w:p>
        </w:tc>
        <w:tc>
          <w:tcPr>
            <w:tcW w:type="dxa" w:w="217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1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Gulshan, Dhaka</w:t>
            </w:r>
          </w:p>
        </w:tc>
      </w:tr>
      <w:tr>
        <w:trPr>
          <w:trHeight w:hRule="exact" w:val="376"/>
        </w:trPr>
        <w:tc>
          <w:tcPr>
            <w:tcW w:type="dxa" w:w="94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24 mois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300"/>
        </w:trPr>
        <w:tc>
          <w:tcPr>
            <w:tcW w:type="dxa" w:w="3566"/>
            <w:vMerge/>
            <w:tcBorders/>
          </w:tcPr>
          <w:p/>
        </w:tc>
        <w:tc>
          <w:tcPr>
            <w:tcW w:type="dxa" w:w="7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57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d'investissement (modélisation financièr…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2" w:after="0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Optimisation des processus de reporting financier avec l'utilisation d'Excel avancé et de </w:t>
      </w:r>
      <w:r>
        <w:rPr>
          <w:rFonts w:ascii="Times" w:hAnsi="Times" w:eastAsia="Times"/>
          <w:b w:val="0"/>
          <w:i w:val="0"/>
          <w:color w:val="000000"/>
          <w:sz w:val="19"/>
        </w:rPr>
        <w:t>Power BI pour améliorer l'effi…</w:t>
      </w:r>
    </w:p>
    <w:p>
      <w:pPr>
        <w:autoSpaceDN w:val="0"/>
        <w:autoSpaceDE w:val="0"/>
        <w:widowControl/>
        <w:spacing w:line="232" w:lineRule="exact" w:before="48" w:after="276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Collaboration avec les équipes de gestion des risques pour identifier les opportunités de </w:t>
      </w:r>
      <w:r>
        <w:rPr>
          <w:rFonts w:ascii="Times" w:hAnsi="Times" w:eastAsia="Times"/>
          <w:b w:val="0"/>
          <w:i w:val="0"/>
          <w:color w:val="000000"/>
          <w:sz w:val="19"/>
        </w:rPr>
        <w:t>réduction des coûts et d'améli…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22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Aug 2020</w:t>
            </w:r>
          </w:p>
        </w:tc>
        <w:tc>
          <w:tcPr>
            <w:tcW w:type="dxa" w:w="7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510" w:val="left"/>
              </w:tabs>
              <w:autoSpaceDE w:val="0"/>
              <w:widowControl/>
              <w:spacing w:line="184" w:lineRule="exact" w:before="156" w:after="0"/>
              <w:ind w:left="282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Grameenphone Ltd. (Telenor Group)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Développement de modèles financiers pour des projets d'investissement majeurs</w:t>
            </w:r>
          </w:p>
        </w:tc>
        <w:tc>
          <w:tcPr>
            <w:tcW w:type="dxa" w:w="2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8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Mohakhali, Dhaka</w:t>
            </w:r>
          </w:p>
        </w:tc>
      </w:tr>
      <w:tr>
        <w:trPr>
          <w:trHeight w:hRule="exact" w:val="398"/>
        </w:trPr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28 mois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0" w:lineRule="exact" w:before="40" w:after="0"/>
        <w:ind w:left="1516" w:right="230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Réalisation d'études de marché et d'analyses concurrentielles pour soutenir les décisions </w:t>
      </w:r>
      <w:r>
        <w:rPr>
          <w:rFonts w:ascii="Times" w:hAnsi="Times" w:eastAsia="Times"/>
          <w:b w:val="0"/>
          <w:i w:val="0"/>
          <w:color w:val="000000"/>
          <w:sz w:val="19"/>
        </w:rPr>
        <w:t>stratégiques de l'entreprise (…</w:t>
      </w:r>
    </w:p>
    <w:p>
      <w:pPr>
        <w:autoSpaceDN w:val="0"/>
        <w:autoSpaceDE w:val="0"/>
        <w:widowControl/>
        <w:spacing w:line="232" w:lineRule="exact" w:before="50" w:after="276"/>
        <w:ind w:left="1516" w:right="201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Gestion de la communication avec les parties prenantes internes et externes pour assurer la </w:t>
      </w:r>
      <w:r>
        <w:rPr>
          <w:rFonts w:ascii="Times" w:hAnsi="Times" w:eastAsia="Times"/>
          <w:b w:val="0"/>
          <w:i w:val="0"/>
          <w:color w:val="000000"/>
          <w:sz w:val="19"/>
        </w:rPr>
        <w:t>cohérence des rapports finan…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3.999999999999986" w:type="dxa"/>
      </w:tblPr>
      <w:tblGrid>
        <w:gridCol w:w="3566"/>
        <w:gridCol w:w="3566"/>
        <w:gridCol w:w="3566"/>
      </w:tblGrid>
      <w:tr>
        <w:trPr>
          <w:trHeight w:hRule="exact" w:val="312"/>
        </w:trPr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Jan 2023</w:t>
            </w:r>
          </w:p>
        </w:tc>
        <w:tc>
          <w:tcPr>
            <w:tcW w:type="dxa" w:w="7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30" w:val="left"/>
              </w:tabs>
              <w:autoSpaceDE w:val="0"/>
              <w:widowControl/>
              <w:spacing w:line="184" w:lineRule="exact" w:before="140" w:after="0"/>
              <w:ind w:left="102" w:right="72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bKash Limited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Senior Financial Analyst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Conduite d'analyses financières avancées pour soutenir les initiatives stratégiques de</w:t>
            </w:r>
          </w:p>
        </w:tc>
        <w:tc>
          <w:tcPr>
            <w:tcW w:type="dxa" w:w="1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66" w:after="0"/>
              <w:ind w:left="0" w:right="0" w:firstLine="0"/>
              <w:jc w:val="righ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Banani, Dhaka</w:t>
            </w:r>
          </w:p>
        </w:tc>
      </w:tr>
      <w:tr>
        <w:trPr>
          <w:trHeight w:hRule="exact" w:val="380"/>
        </w:trPr>
        <w:tc>
          <w:tcPr>
            <w:tcW w:type="dxa" w:w="1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8" w:after="0"/>
              <w:ind w:left="24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En cours</w:t>
            </w:r>
          </w:p>
        </w:tc>
        <w:tc>
          <w:tcPr>
            <w:tcW w:type="dxa" w:w="3566"/>
            <w:vMerge/>
            <w:tcBorders/>
          </w:tcPr>
          <w:p/>
        </w:tc>
        <w:tc>
          <w:tcPr>
            <w:tcW w:type="dxa" w:w="3566"/>
            <w:vMerge/>
            <w:tcBorders/>
          </w:tcPr>
          <w:p/>
        </w:tc>
      </w:tr>
      <w:tr>
        <w:trPr>
          <w:trHeight w:hRule="exact" w:val="256"/>
        </w:trPr>
        <w:tc>
          <w:tcPr>
            <w:tcW w:type="dxa" w:w="3566"/>
            <w:vMerge/>
            <w:tcBorders/>
          </w:tcPr>
          <w:p/>
        </w:tc>
        <w:tc>
          <w:tcPr>
            <w:tcW w:type="dxa" w:w="7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0" w:after="0"/>
              <w:ind w:left="33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l'entreprise</w:t>
            </w:r>
          </w:p>
        </w:tc>
        <w:tc>
          <w:tcPr>
            <w:tcW w:type="dxa" w:w="3566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32" w:lineRule="exact" w:before="36" w:after="0"/>
        <w:ind w:left="1516" w:right="259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Mise en place de systèmes de reporting automatisés pour améliorer l'efficacité et la </w:t>
      </w:r>
      <w:r>
        <w:rPr>
          <w:rFonts w:ascii="Times" w:hAnsi="Times" w:eastAsia="Times"/>
          <w:b w:val="0"/>
          <w:i w:val="0"/>
          <w:color w:val="000000"/>
          <w:sz w:val="19"/>
        </w:rPr>
        <w:t>précision des prévisions financière…</w:t>
      </w:r>
    </w:p>
    <w:p>
      <w:pPr>
        <w:autoSpaceDN w:val="0"/>
        <w:autoSpaceDE w:val="0"/>
        <w:widowControl/>
        <w:spacing w:line="232" w:lineRule="exact" w:before="48" w:after="0"/>
        <w:ind w:left="1516" w:right="216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Supervision de l'équipe d'analystes financiers pour garantir la qualité et la cohérence des </w:t>
      </w:r>
      <w:r>
        <w:rPr>
          <w:rFonts w:ascii="Times" w:hAnsi="Times" w:eastAsia="Times"/>
          <w:b w:val="0"/>
          <w:i w:val="0"/>
          <w:color w:val="000000"/>
          <w:sz w:val="19"/>
        </w:rPr>
        <w:t>analyses et des rapports fou…</w:t>
      </w:r>
    </w:p>
    <w:p>
      <w:pPr>
        <w:autoSpaceDN w:val="0"/>
        <w:autoSpaceDE w:val="0"/>
        <w:widowControl/>
        <w:spacing w:line="304" w:lineRule="exact" w:before="3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4" w:lineRule="exact" w:before="80" w:after="0"/>
        <w:ind w:left="0" w:right="0" w:firstLine="0"/>
        <w:jc w:val="center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Bengali (langue maternelle), English (courant, IELTS 8.0), French (intermédiaire, B1)</w:t>
      </w:r>
    </w:p>
    <w:p>
      <w:pPr>
        <w:autoSpaceDN w:val="0"/>
        <w:autoSpaceDE w:val="0"/>
        <w:widowControl/>
        <w:spacing w:line="220" w:lineRule="exact" w:before="64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Financial Modeling (expert), Excel &amp; Advanced Excel (expert), Power BI (avancé), SQL (intermédiaire), Python </w:t>
      </w:r>
      <w:r>
        <w:rPr>
          <w:rFonts w:ascii="Times" w:hAnsi="Times" w:eastAsia="Times"/>
          <w:b w:val="0"/>
          <w:i w:val="0"/>
          <w:color w:val="000000"/>
          <w:sz w:val="19"/>
        </w:rPr>
        <w:t>(Pandas, NumPy) (intermédiaire), Financial Analysis &amp; Valuation (expert)</w:t>
      </w:r>
    </w:p>
    <w:p>
      <w:pPr>
        <w:autoSpaceDN w:val="0"/>
        <w:autoSpaceDE w:val="0"/>
        <w:widowControl/>
        <w:spacing w:line="266" w:lineRule="exact" w:before="2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Financial Databases: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Bloomberg, Capital IQ</w:t>
      </w:r>
    </w:p>
    <w:p>
      <w:pPr>
        <w:autoSpaceDN w:val="0"/>
        <w:autoSpaceDE w:val="0"/>
        <w:widowControl/>
        <w:spacing w:line="304" w:lineRule="exact" w:before="86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144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Trésorier, Dhaka University Finance Club (gestion des fonds, organisation d'événements financiers, développement </w:t>
      </w:r>
      <w:r>
        <w:rPr>
          <w:rFonts w:ascii="Times" w:hAnsi="Times" w:eastAsia="Times"/>
          <w:b w:val="0"/>
          <w:i w:val="0"/>
          <w:color w:val="000000"/>
          <w:sz w:val="19"/>
        </w:rPr>
        <w:t>de partenariats, ...)</w:t>
      </w:r>
    </w:p>
    <w:p>
      <w:pPr>
        <w:autoSpaceDN w:val="0"/>
        <w:autoSpaceDE w:val="0"/>
        <w:widowControl/>
        <w:spacing w:line="230" w:lineRule="exact" w:before="52" w:after="0"/>
        <w:ind w:left="1516" w:right="288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Formateur bénévole en littératie financière, JAAGO Foundation (ateliers mensuels, impact sur 200+ participants, </w:t>
      </w:r>
      <w:r>
        <w:rPr>
          <w:rFonts w:ascii="Times" w:hAnsi="Times" w:eastAsia="Times"/>
          <w:b w:val="0"/>
          <w:i w:val="0"/>
          <w:color w:val="000000"/>
          <w:sz w:val="19"/>
        </w:rPr>
        <w:t>création de matériel pédagogique, ...)</w:t>
      </w:r>
    </w:p>
    <w:sectPr w:rsidR="00FC693F" w:rsidRPr="0006063C" w:rsidSect="00034616">
      <w:pgSz w:w="11906" w:h="16838"/>
      <w:pgMar w:top="262" w:right="594" w:bottom="52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rahim.sheikh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