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8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267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Full Name</w:t>
            </w:r>
          </w:p>
        </w:tc>
        <w:tc>
          <w:tcPr>
            <w:tcW w:type="dxa" w:w="195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14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5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7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Complete Address • +XX X XX XX XX XX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email@example.com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2019</w:t>
            </w:r>
          </w:p>
        </w:tc>
        <w:tc>
          <w:tcPr>
            <w:tcW w:type="dxa" w:w="776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322" w:right="5328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INSTITUTION NAME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Degree Name</w:t>
            </w:r>
          </w:p>
        </w:tc>
        <w:tc>
          <w:tcPr>
            <w:tcW w:type="dxa" w:w="195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City, Country</w:t>
            </w:r>
          </w:p>
        </w:tc>
      </w:tr>
      <w:tr>
        <w:trPr>
          <w:trHeight w:hRule="exact" w:val="492"/>
        </w:trPr>
        <w:tc>
          <w:tcPr>
            <w:tcW w:type="dxa" w:w="8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288" w:right="4752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Specific honors, rankings, mentions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Major/Specialty (if applicable)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20" w:lineRule="exact" w:before="50" w:after="0"/>
        <w:ind w:left="1288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Corporate Finance (méthodes avancées, études de cas pratiques), Financial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Markets (méthodes avancées, études de cas pratiques), Econometrics (méthodes avancées, études de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cas pratiques), Data Modeling (méthodes avancées, études de cas pratiques), Contract Law (méthodes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avancées, études de cas pratiques), Statistics (méthodes avancées, études de cas pratiques), Coding </w:t>
      </w:r>
      <w:r>
        <w:rPr>
          <w:rFonts w:ascii="Times" w:hAnsi="Times" w:eastAsia="Times"/>
          <w:b w:val="0"/>
          <w:i w:val="0"/>
          <w:color w:val="000000"/>
          <w:sz w:val="18"/>
        </w:rPr>
        <w:t>(HTML, CSS, WordPress) (méthodes avancées, études de cas pratiques)</w:t>
      </w:r>
    </w:p>
    <w:p>
      <w:pPr>
        <w:autoSpaceDN w:val="0"/>
        <w:autoSpaceDE w:val="0"/>
        <w:widowControl/>
        <w:spacing w:line="304" w:lineRule="exact" w:before="26" w:after="84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8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Jun 2021</w:t>
            </w:r>
          </w:p>
        </w:tc>
        <w:tc>
          <w:tcPr>
            <w:tcW w:type="dxa" w:w="822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0" w:val="left"/>
              </w:tabs>
              <w:autoSpaceDE w:val="0"/>
              <w:widowControl/>
              <w:spacing w:line="184" w:lineRule="exact" w:before="358" w:after="0"/>
              <w:ind w:left="322" w:right="432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COMPANY NAME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Intern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Réalisation d'une analyse de marché complète pour un acteur majeur des services financiers,</w:t>
            </w:r>
          </w:p>
        </w:tc>
        <w:tc>
          <w:tcPr>
            <w:tcW w:type="dxa" w:w="149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City, Country</w:t>
            </w:r>
          </w:p>
        </w:tc>
      </w:tr>
      <w:tr>
        <w:trPr>
          <w:trHeight w:hRule="exact" w:val="360"/>
        </w:trPr>
        <w:tc>
          <w:tcPr>
            <w:tcW w:type="dxa" w:w="9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2 mois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3566"/>
            <w:vMerge/>
            <w:tcBorders/>
          </w:tcPr>
          <w:p/>
        </w:tc>
        <w:tc>
          <w:tcPr>
            <w:tcW w:type="dxa" w:w="8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utilisant le benchmarking concurrentiel, la visualisation de données, la modélisation financière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02"/>
        </w:trPr>
        <w:tc>
          <w:tcPr>
            <w:tcW w:type="dxa" w:w="3566"/>
            <w:vMerge/>
            <w:tcBorders/>
          </w:tcPr>
          <w:p/>
        </w:tc>
        <w:tc>
          <w:tcPr>
            <w:tcW w:type="dxa" w:w="8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pour identifier des opportunités de croissance...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0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Exécution d'un processus de due diligence détaillé pour une acquisition potentielle dans le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secteur fintech, impliquant des entretiens avec les parties prenantes, la gestion de réseaux </w:t>
      </w:r>
      <w:r>
        <w:rPr>
          <w:rFonts w:ascii="Times" w:hAnsi="Times" w:eastAsia="Times"/>
          <w:b w:val="0"/>
          <w:i w:val="0"/>
          <w:color w:val="000000"/>
          <w:sz w:val="19"/>
        </w:rPr>
        <w:t>d'experts, le développement de modèles financiers...</w:t>
      </w:r>
    </w:p>
    <w:p>
      <w:pPr>
        <w:autoSpaceDN w:val="0"/>
        <w:autoSpaceDE w:val="0"/>
        <w:widowControl/>
        <w:spacing w:line="230" w:lineRule="exact" w:before="48" w:after="0"/>
        <w:ind w:left="1516" w:right="2112" w:firstLine="0"/>
        <w:jc w:val="both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Développement d'un plan stratégique de lancement de produit, intégrant le positionnement </w:t>
      </w:r>
      <w:r>
        <w:rPr>
          <w:rFonts w:ascii="Times" w:hAnsi="Times" w:eastAsia="Times"/>
          <w:b w:val="0"/>
          <w:i w:val="0"/>
          <w:color w:val="000000"/>
          <w:sz w:val="19"/>
        </w:rPr>
        <w:t>concurrentiel, la stratégie de prix, l'analyse de scénarios pour optimiser l'entrée sur le marché</w:t>
      </w:r>
      <w:r>
        <w:rPr>
          <w:rFonts w:ascii="Times" w:hAnsi="Times" w:eastAsia="Times"/>
          <w:b w:val="0"/>
          <w:i w:val="0"/>
          <w:color w:val="000000"/>
          <w:sz w:val="19"/>
        </w:rPr>
        <w:t>et maximiser le retour sur investissement...</w:t>
      </w:r>
    </w:p>
    <w:p>
      <w:pPr>
        <w:autoSpaceDN w:val="0"/>
        <w:autoSpaceDE w:val="0"/>
        <w:widowControl/>
        <w:spacing w:line="304" w:lineRule="exact" w:before="3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French (native), English (fluent, C1), Spanish (intermediate, B2)</w:t>
      </w:r>
    </w:p>
    <w:p>
      <w:pPr>
        <w:autoSpaceDN w:val="0"/>
        <w:autoSpaceDE w:val="0"/>
        <w:widowControl/>
        <w:spacing w:line="266" w:lineRule="exact" w:before="2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Excel (advanced), PowerPoint, Python (basics), Tableau, Alteryx (basics), SQL, R, VBA</w:t>
      </w:r>
    </w:p>
    <w:p>
      <w:pPr>
        <w:autoSpaceDN w:val="0"/>
        <w:autoSpaceDE w:val="0"/>
        <w:widowControl/>
        <w:spacing w:line="264" w:lineRule="exact" w:before="2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Financial Databases: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Bloomberg, Capital IQ, Factset</w:t>
      </w:r>
    </w:p>
    <w:p>
      <w:pPr>
        <w:autoSpaceDN w:val="0"/>
        <w:autoSpaceDE w:val="0"/>
        <w:widowControl/>
        <w:spacing w:line="304" w:lineRule="exact" w:before="86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0" w:lineRule="exact" w:before="104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Membre du HEC Football Club (participation au 'Derby des Parisiennes 2019', coordination logistique, gestion d'une</w:t>
      </w:r>
      <w:r>
        <w:rPr>
          <w:rFonts w:ascii="Times" w:hAnsi="Times" w:eastAsia="Times"/>
          <w:b w:val="0"/>
          <w:i w:val="0"/>
          <w:color w:val="000000"/>
          <w:sz w:val="19"/>
        </w:rPr>
        <w:t>équipe de 15)</w:t>
      </w:r>
    </w:p>
    <w:p>
      <w:pPr>
        <w:autoSpaceDN w:val="0"/>
        <w:autoSpaceDE w:val="0"/>
        <w:widowControl/>
        <w:spacing w:line="254" w:lineRule="exact" w:before="2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Passionné de géopolitique (engagement dans des podcasts, magazines spécialisés, groupes de discussion mensuels)</w:t>
      </w:r>
    </w:p>
    <w:p>
      <w:pPr>
        <w:autoSpaceDN w:val="0"/>
        <w:autoSpaceDE w:val="0"/>
        <w:widowControl/>
        <w:spacing w:line="252" w:lineRule="exact" w:before="32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Organisation d'événements culturels (planification, gestion de budget, coordination d'équipes de bénévoles)</w:t>
      </w:r>
    </w:p>
    <w:sectPr w:rsidR="00FC693F" w:rsidRPr="0006063C" w:rsidSect="00034616">
      <w:pgSz w:w="11906" w:h="16838"/>
      <w:pgMar w:top="262" w:right="594" w:bottom="144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email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