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7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Data Modeling (méthodes avancées, études de cas pratiques), Contract Law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Statistics (méthodes avancées, études de cas pratiques), Coding </w:t>
      </w:r>
      <w:r>
        <w:rPr>
          <w:rFonts w:ascii="Times" w:hAnsi="Times" w:eastAsia="Times"/>
          <w:b w:val="0"/>
          <w:i w:val="0"/>
          <w:color w:val="000000"/>
          <w:sz w:val="18"/>
        </w:rPr>
        <w:t>(HTML, CSS, WordPress)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0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market analysis for a leading financial services firm, utilizing</w:t>
            </w:r>
          </w:p>
        </w:tc>
        <w:tc>
          <w:tcPr>
            <w:tcW w:type="dxa" w:w="16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competitive benchmarking, data visualization, and financial modeling to identify growth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opportunities, with cross-functional team coordination...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Executed a detailed due diligence process for a potential acquisition in the fintech sector,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involving stakeholder interviews, expert network management, and development of financial </w:t>
      </w:r>
      <w:r>
        <w:rPr>
          <w:rFonts w:ascii="Times" w:hAnsi="Times" w:eastAsia="Times"/>
          <w:b w:val="0"/>
          <w:i w:val="0"/>
          <w:color w:val="000000"/>
          <w:sz w:val="19"/>
        </w:rPr>
        <w:t>models, with cross-functional team coordination...</w:t>
      </w:r>
    </w:p>
    <w:p>
      <w:pPr>
        <w:autoSpaceDN w:val="0"/>
        <w:autoSpaceDE w:val="0"/>
        <w:widowControl/>
        <w:spacing w:line="230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a strategic go-to-market plan for a new product launch, incorporating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competitive positioning, pricing strategy, and scenario analysis to optimize market entry and </w:t>
      </w:r>
      <w:r>
        <w:rPr>
          <w:rFonts w:ascii="Times" w:hAnsi="Times" w:eastAsia="Times"/>
          <w:b w:val="0"/>
          <w:i w:val="0"/>
          <w:color w:val="000000"/>
          <w:sz w:val="19"/>
        </w:rPr>
        <w:t>maximize ROI, with cross-functional team coordination...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Alteryx (basics), SQL, R, VBA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IQ, Factset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Member of HEC Football Club (participated in 'Derby des Parisiennes 2019', coordinated logistics, managed team of </w:t>
      </w:r>
      <w:r>
        <w:rPr>
          <w:rFonts w:ascii="Times" w:hAnsi="Times" w:eastAsia="Times"/>
          <w:b w:val="0"/>
          <w:i w:val="0"/>
          <w:color w:val="000000"/>
          <w:sz w:val="19"/>
        </w:rPr>
        <w:t>15)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Geopolitics enthusiast (engaged in podcasts, specialized magazines, and monthly discussion groups)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