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86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2308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Gautier Rouas</w:t>
            </w:r>
          </w:p>
        </w:tc>
        <w:tc>
          <w:tcPr>
            <w:tcW w:type="dxa" w:w="203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222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64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83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Versailles, France • +33650019062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rouas.gautier@gmail.com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9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2023</w:t>
            </w:r>
          </w:p>
        </w:tc>
        <w:tc>
          <w:tcPr>
            <w:tcW w:type="dxa" w:w="768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322" w:right="5904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GamingCampus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Master 2</w:t>
            </w:r>
          </w:p>
        </w:tc>
        <w:tc>
          <w:tcPr>
            <w:tcW w:type="dxa" w:w="203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Lyon, France</w:t>
            </w:r>
          </w:p>
        </w:tc>
      </w:tr>
      <w:tr>
        <w:trPr>
          <w:trHeight w:hRule="exact" w:val="492"/>
        </w:trPr>
        <w:tc>
          <w:tcPr>
            <w:tcW w:type="dxa" w:w="86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1288" w:right="4896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Note de mémoire: 16,2/20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Esport Business &amp; Management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20" w:lineRule="exact" w:before="50" w:after="0"/>
        <w:ind w:left="1288" w:right="187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Marketing Digital (méthodes avancées, études de cas pratiques), Stratégie Social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Media (méthodes avancées, études de cas pratiques), Gestion d'Influence (méthodes avancées, études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de cas pratiques), Création de Contenus (méthodes avancées, études de cas pratiques), Analyse de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Performance (méthodes avancées, études de cas pratiques), Planification Éditoriale (méthodes </w:t>
      </w:r>
      <w:r>
        <w:rPr>
          <w:rFonts w:ascii="Times" w:hAnsi="Times" w:eastAsia="Times"/>
          <w:b w:val="0"/>
          <w:i w:val="0"/>
          <w:color w:val="000000"/>
          <w:sz w:val="18"/>
        </w:rPr>
        <w:t>avancées, études de cas pratiques)</w:t>
      </w:r>
    </w:p>
    <w:p>
      <w:pPr>
        <w:autoSpaceDN w:val="0"/>
        <w:autoSpaceDE w:val="0"/>
        <w:widowControl/>
        <w:spacing w:line="304" w:lineRule="exact" w:before="26" w:after="84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8"/>
        </w:trPr>
        <w:tc>
          <w:tcPr>
            <w:tcW w:type="dxa" w:w="9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2023</w:t>
            </w:r>
          </w:p>
        </w:tc>
        <w:tc>
          <w:tcPr>
            <w:tcW w:type="dxa" w:w="804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0" w:val="left"/>
              </w:tabs>
              <w:autoSpaceDE w:val="0"/>
              <w:widowControl/>
              <w:spacing w:line="184" w:lineRule="exact" w:before="358" w:after="0"/>
              <w:ind w:left="322" w:right="7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The Tiny Digital Factory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Communication &amp; Marketing Manager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Gestion du planning éditorial et création de contenus engageants, incluant la rédaction</w:t>
            </w:r>
          </w:p>
        </w:tc>
        <w:tc>
          <w:tcPr>
            <w:tcW w:type="dxa" w:w="167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Lyon, France</w:t>
            </w:r>
          </w:p>
        </w:tc>
      </w:tr>
      <w:tr>
        <w:trPr>
          <w:trHeight w:hRule="exact" w:val="360"/>
        </w:trPr>
        <w:tc>
          <w:tcPr>
            <w:tcW w:type="dxa" w:w="96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12 mois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40"/>
        </w:trPr>
        <w:tc>
          <w:tcPr>
            <w:tcW w:type="dxa" w:w="3566"/>
            <w:vMerge/>
            <w:tcBorders/>
          </w:tcPr>
          <w:p/>
        </w:tc>
        <w:tc>
          <w:tcPr>
            <w:tcW w:type="dxa" w:w="8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hebdomadaire de 4 publications et l'élaboration de rapports d'activité..., avec coordination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302"/>
        </w:trPr>
        <w:tc>
          <w:tcPr>
            <w:tcW w:type="dxa" w:w="3566"/>
            <w:vMerge/>
            <w:tcBorders/>
          </w:tcPr>
          <w:p/>
        </w:tc>
        <w:tc>
          <w:tcPr>
            <w:tcW w:type="dxa" w:w="8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d'équipes pluridisciplinaires et gestion de projets transverses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2" w:lineRule="exact" w:before="20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Pilotage de campagnes de marketing d'influence : identification des influenceurs pertinents,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définition des objectifs stratégiques, rédaction des briefs, négociation des collaborations et </w:t>
      </w:r>
      <w:r>
        <w:rPr>
          <w:rFonts w:ascii="Times" w:hAnsi="Times" w:eastAsia="Times"/>
          <w:b w:val="0"/>
          <w:i w:val="0"/>
          <w:color w:val="000000"/>
          <w:sz w:val="19"/>
        </w:rPr>
        <w:t>suivi rigoureux des performances...</w:t>
      </w:r>
    </w:p>
    <w:p>
      <w:pPr>
        <w:autoSpaceDN w:val="0"/>
        <w:autoSpaceDE w:val="0"/>
        <w:widowControl/>
        <w:spacing w:line="230" w:lineRule="exact" w:before="48" w:after="274"/>
        <w:ind w:left="1516" w:right="216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Animation dynamique des communautés en ligne, modération active et organisation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d'événements virtuels pour renforcer l'engagement utilisateur..., avec coordination d'équipes </w:t>
      </w:r>
      <w:r>
        <w:rPr>
          <w:rFonts w:ascii="Times" w:hAnsi="Times" w:eastAsia="Times"/>
          <w:b w:val="0"/>
          <w:i w:val="0"/>
          <w:color w:val="000000"/>
          <w:sz w:val="19"/>
        </w:rPr>
        <w:t>pluridisciplinaires et gestion de projets transverses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22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2022</w:t>
            </w:r>
          </w:p>
        </w:tc>
        <w:tc>
          <w:tcPr>
            <w:tcW w:type="dxa" w:w="8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0" w:val="left"/>
              </w:tabs>
              <w:autoSpaceDE w:val="0"/>
              <w:widowControl/>
              <w:spacing w:line="184" w:lineRule="exact" w:before="134" w:after="0"/>
              <w:ind w:left="322" w:right="1152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Stuverance Esport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Global Esport Manager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Pilotage du processus de recrutement de joueurs, incluant la recherche de talents,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Lyon, France</w:t>
            </w:r>
          </w:p>
        </w:tc>
      </w:tr>
      <w:tr>
        <w:trPr>
          <w:trHeight w:hRule="exact" w:val="360"/>
        </w:trPr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24 mois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3566"/>
            <w:vMerge/>
            <w:tcBorders/>
          </w:tcPr>
          <w:p/>
        </w:tc>
        <w:tc>
          <w:tcPr>
            <w:tcW w:type="dxa" w:w="8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l'organisation d'essais compétitifs et la conduite d'entretiens individuels..., avec coordination</w:t>
            </w:r>
          </w:p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56"/>
        </w:trPr>
        <w:tc>
          <w:tcPr>
            <w:tcW w:type="dxa" w:w="3566"/>
            <w:vMerge/>
            <w:tcBorders/>
          </w:tcPr>
          <w:p/>
        </w:tc>
        <w:tc>
          <w:tcPr>
            <w:tcW w:type="dxa" w:w="8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d'équipes pluridisciplinaires et gestion de projets transverses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0" w:lineRule="exact" w:before="36" w:after="0"/>
        <w:ind w:left="1516" w:right="230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Supervision et développement de trois équipes e-sportives avec un accent sur la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performance et l'atteinte des objectifs..., avec coordination d'équipes pluridisciplinaires et </w:t>
      </w:r>
      <w:r>
        <w:rPr>
          <w:rFonts w:ascii="Times" w:hAnsi="Times" w:eastAsia="Times"/>
          <w:b w:val="0"/>
          <w:i w:val="0"/>
          <w:color w:val="000000"/>
          <w:sz w:val="19"/>
        </w:rPr>
        <w:t>gestion de projets transverses</w:t>
      </w:r>
    </w:p>
    <w:p>
      <w:pPr>
        <w:autoSpaceDN w:val="0"/>
        <w:autoSpaceDE w:val="0"/>
        <w:widowControl/>
        <w:spacing w:line="230" w:lineRule="exact" w:before="48" w:after="274"/>
        <w:ind w:left="1516" w:right="187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Coordination de réunions de performance régulières pour évaluer les progrès des équipes et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élaboration de rapports détaillés..., avec coordination d'équipes pluridisciplinaires et gestion de </w:t>
      </w:r>
      <w:r>
        <w:rPr>
          <w:rFonts w:ascii="Times" w:hAnsi="Times" w:eastAsia="Times"/>
          <w:b w:val="0"/>
          <w:i w:val="0"/>
          <w:color w:val="000000"/>
          <w:sz w:val="19"/>
        </w:rPr>
        <w:t>projets transverses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22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6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2021</w:t>
            </w:r>
          </w:p>
        </w:tc>
        <w:tc>
          <w:tcPr>
            <w:tcW w:type="dxa" w:w="8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0" w:val="left"/>
              </w:tabs>
              <w:autoSpaceDE w:val="0"/>
              <w:widowControl/>
              <w:spacing w:line="184" w:lineRule="exact" w:before="140" w:after="0"/>
              <w:ind w:left="322" w:right="864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The Pawn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Chef de Projet Communication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Conception de présentations de sponsoring attractives pour démarcher des partenaires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6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Paris, France</w:t>
            </w:r>
          </w:p>
        </w:tc>
      </w:tr>
      <w:tr>
        <w:trPr>
          <w:trHeight w:hRule="exact" w:val="370"/>
        </w:trPr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24 mois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30"/>
        </w:trPr>
        <w:tc>
          <w:tcPr>
            <w:tcW w:type="dxa" w:w="3566"/>
            <w:vMerge/>
            <w:tcBorders/>
          </w:tcPr>
          <w:p/>
        </w:tc>
        <w:tc>
          <w:tcPr>
            <w:tcW w:type="dxa" w:w="8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potentiels, sécuriser des financements et prospection active de partenariats stratégiques..., avec</w:t>
            </w:r>
          </w:p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56"/>
        </w:trPr>
        <w:tc>
          <w:tcPr>
            <w:tcW w:type="dxa" w:w="3566"/>
            <w:vMerge/>
            <w:tcBorders/>
          </w:tcPr>
          <w:p/>
        </w:tc>
        <w:tc>
          <w:tcPr>
            <w:tcW w:type="dxa" w:w="8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coordination d'équipes pluridisciplinaires et gestion de projets t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2" w:lineRule="exact" w:before="36" w:after="0"/>
        <w:ind w:left="1516" w:right="259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Conception et mise en œuvre de plannings éditoriaux pour optimiser la stratégie de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communication..., avec coordination d'équipes pluridisciplinaires et gestion de projets </w:t>
      </w:r>
      <w:r>
        <w:rPr>
          <w:rFonts w:ascii="Times" w:hAnsi="Times" w:eastAsia="Times"/>
          <w:b w:val="0"/>
          <w:i w:val="0"/>
          <w:color w:val="000000"/>
          <w:sz w:val="19"/>
        </w:rPr>
        <w:t>transverses, incluant analyses de données quantitatives et qualitatives approfo</w:t>
      </w:r>
    </w:p>
    <w:p>
      <w:pPr>
        <w:autoSpaceDN w:val="0"/>
        <w:autoSpaceDE w:val="0"/>
        <w:widowControl/>
        <w:spacing w:line="230" w:lineRule="exact" w:before="50" w:after="0"/>
        <w:ind w:left="1516" w:right="216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Développement d'initiatives de prospection commerciale, à la fois en interne et auprès de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nouveaux clients potentiels..., avec coordination d'équipes pluridisciplinaires et gestion de </w:t>
      </w:r>
      <w:r>
        <w:rPr>
          <w:rFonts w:ascii="Times" w:hAnsi="Times" w:eastAsia="Times"/>
          <w:b w:val="0"/>
          <w:i w:val="0"/>
          <w:color w:val="000000"/>
          <w:sz w:val="19"/>
        </w:rPr>
        <w:t>projets transverses</w:t>
      </w:r>
    </w:p>
    <w:p>
      <w:pPr>
        <w:autoSpaceDN w:val="0"/>
        <w:autoSpaceDE w:val="0"/>
        <w:widowControl/>
        <w:spacing w:line="304" w:lineRule="exact" w:before="3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4" w:lineRule="exact" w:before="8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French (native), English (professional)</w:t>
      </w:r>
    </w:p>
    <w:p>
      <w:pPr>
        <w:autoSpaceDN w:val="0"/>
        <w:autoSpaceDE w:val="0"/>
        <w:widowControl/>
        <w:spacing w:line="220" w:lineRule="exact" w:before="66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Social Media Management, Content Creation, Performance Analysis, Editorial Planning, Community Animation, </w:t>
      </w:r>
      <w:r>
        <w:rPr>
          <w:rFonts w:ascii="Times" w:hAnsi="Times" w:eastAsia="Times"/>
          <w:b w:val="0"/>
          <w:i w:val="0"/>
          <w:color w:val="000000"/>
          <w:sz w:val="19"/>
        </w:rPr>
        <w:t>Influence Campaign Management, Team Coordination</w:t>
      </w:r>
    </w:p>
    <w:p>
      <w:pPr>
        <w:autoSpaceDN w:val="0"/>
        <w:autoSpaceDE w:val="0"/>
        <w:widowControl/>
        <w:spacing w:line="304" w:lineRule="exact" w:before="9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32" w:lineRule="exact" w:before="10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Bénévole Bienveillance - Purple Effect, Lyon (Promotion de la bienveillance et de l’écoute attentive en milieu festif, </w:t>
      </w:r>
      <w:r>
        <w:rPr>
          <w:rFonts w:ascii="Times" w:hAnsi="Times" w:eastAsia="Times"/>
          <w:b w:val="0"/>
          <w:i w:val="0"/>
          <w:color w:val="000000"/>
          <w:sz w:val="19"/>
        </w:rPr>
        <w:t>gestion des situations sensibles)</w:t>
      </w:r>
    </w:p>
    <w:p>
      <w:pPr>
        <w:autoSpaceDN w:val="0"/>
        <w:autoSpaceDE w:val="0"/>
        <w:widowControl/>
        <w:spacing w:line="254" w:lineRule="exact" w:before="28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Sensibilisation du public aux enjeux de consommation responsable, de consentement et de respect mutuel</w:t>
      </w:r>
    </w:p>
    <w:sectPr w:rsidR="00FC693F" w:rsidRPr="0006063C" w:rsidSect="00034616">
      <w:pgSz w:w="11906" w:h="16838"/>
      <w:pgMar w:top="262" w:right="594" w:bottom="640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rouas.gautie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