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49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Fayed HANAFI</w:t>
            </w:r>
          </w:p>
        </w:tc>
        <w:tc>
          <w:tcPr>
            <w:tcW w:type="dxa" w:w="17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9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5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9 Rue Linné 75005 Paris, France • +33 6 88 66 24 36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fayed.hanafi@hec.edu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1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61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HEC Paris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en Management</w:t>
            </w:r>
          </w:p>
        </w:tc>
        <w:tc>
          <w:tcPr>
            <w:tcW w:type="dxa" w:w="17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76"/>
        </w:trPr>
        <w:tc>
          <w:tcPr>
            <w:tcW w:type="dxa" w:w="89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#2 Master en Management - Financial Times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74"/>
        <w:ind w:left="1288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Finance d’entreprise, Finance de marchés, Statistiques, Économie, Droit </w:t>
      </w:r>
      <w:r>
        <w:rPr>
          <w:rFonts w:ascii="Times" w:hAnsi="Times" w:eastAsia="Times"/>
          <w:b w:val="0"/>
          <w:i w:val="0"/>
          <w:color w:val="000000"/>
          <w:sz w:val="18"/>
        </w:rPr>
        <w:t>(contrats et sociétés), Programmation (HTML, CSS, WordPress…), Modélisation de données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4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462" w:right="244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Lycée Saint-Louis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Classe préparatoire aux Grandes Écoles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98"/>
        </w:trPr>
        <w:tc>
          <w:tcPr>
            <w:tcW w:type="dxa" w:w="3566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Filière ECS (dominante mathématiques)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20" w:after="274"/>
        <w:ind w:left="1288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Mathématiques (approfondies), Économie, Histoire-Géographie, Langues </w:t>
      </w:r>
      <w:r>
        <w:rPr>
          <w:rFonts w:ascii="Times" w:hAnsi="Times" w:eastAsia="Times"/>
          <w:b w:val="0"/>
          <w:i w:val="0"/>
          <w:color w:val="000000"/>
          <w:sz w:val="18"/>
        </w:rPr>
        <w:t>vivantes, Philosophie, Culture générale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2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6" w:after="0"/>
              <w:ind w:left="462" w:right="302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Collège Sévigné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Baccalauréat scientifique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mention « très bien »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Spécialité Mathématiques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0" w:after="0"/>
        <w:ind w:left="1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Relevant coursework: Mathématiques, Physique-Chimie, SVT</w:t>
      </w:r>
    </w:p>
    <w:p>
      <w:pPr>
        <w:autoSpaceDN w:val="0"/>
        <w:autoSpaceDE w:val="0"/>
        <w:widowControl/>
        <w:spacing w:line="306" w:lineRule="exact" w:before="38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6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Jan. 2022</w:t>
            </w:r>
          </w:p>
        </w:tc>
        <w:tc>
          <w:tcPr>
            <w:tcW w:type="dxa" w:w="81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184" w:lineRule="exact" w:before="366" w:after="0"/>
              <w:ind w:left="30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Bain &amp; Company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Associate Consultant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 Optimisation d’inventaire pour un acteur international de l’industrie pétrolière (réalisation</w:t>
            </w:r>
          </w:p>
        </w:tc>
        <w:tc>
          <w:tcPr>
            <w:tcW w:type="dxa" w:w="15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2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 benchmarks, analyses avancées de rotation des stocks, modélisation prédictive,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optimisation des flux logistiques, ...)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• Réalisation de 2 due diligences (secteur vétérinaire, courtage hypothécaire) avec études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marché, gestion de réseaux d’experts, élaboration de modèles financiers, visualisation de </w:t>
      </w:r>
      <w:r>
        <w:rPr>
          <w:rFonts w:ascii="Times" w:hAnsi="Times" w:eastAsia="Times"/>
          <w:b w:val="0"/>
          <w:i w:val="0"/>
          <w:color w:val="000000"/>
          <w:sz w:val="19"/>
        </w:rPr>
        <w:t>données via Tableau, ...</w:t>
      </w:r>
    </w:p>
    <w:p>
      <w:pPr>
        <w:autoSpaceDN w:val="0"/>
        <w:autoSpaceDE w:val="0"/>
        <w:widowControl/>
        <w:spacing w:line="232" w:lineRule="exact" w:before="46" w:after="274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• Plan de performance pour un acteur international du secteur de l’énergie (analyse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conditions commerciales en vigueur avec les fournisseurs, réalisation de supports de </w:t>
      </w:r>
      <w:r>
        <w:rPr>
          <w:rFonts w:ascii="Times" w:hAnsi="Times" w:eastAsia="Times"/>
          <w:b w:val="0"/>
          <w:i w:val="0"/>
          <w:color w:val="000000"/>
          <w:sz w:val="19"/>
        </w:rPr>
        <w:t>négociation, optimisation des coûts, ...)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juil. 2021</w:t>
            </w:r>
          </w:p>
        </w:tc>
        <w:tc>
          <w:tcPr>
            <w:tcW w:type="dxa" w:w="8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184" w:lineRule="exact" w:before="144" w:after="0"/>
              <w:ind w:left="30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Bredhill Consulting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Consultant Junior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 Restructuration de l’offre de paiement et d’encaissement à proximité et à distance d’un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grand groupe bancaire français (analyse des besoins, conception de solutions, coordination des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parties prenantes, ...)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20" w:after="272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• Réalisation de benchmarks (étude de l’offre de paiement et d’encaissement de 10 banques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traditionnelles et 5 néobanques, étude du marché des terminaux de paiement proposés par les </w:t>
      </w:r>
      <w:r>
        <w:rPr>
          <w:rFonts w:ascii="Times" w:hAnsi="Times" w:eastAsia="Times"/>
          <w:b w:val="0"/>
          <w:i w:val="0"/>
          <w:color w:val="000000"/>
          <w:sz w:val="19"/>
        </w:rPr>
        <w:t>fintechs, ...)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Oct. 2019</w:t>
            </w:r>
          </w:p>
        </w:tc>
        <w:tc>
          <w:tcPr>
            <w:tcW w:type="dxa" w:w="8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184" w:lineRule="exact" w:before="144" w:after="0"/>
              <w:ind w:left="30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Professeur particulier de Mathématiques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Professeur particulier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 Suivi régulier de 3 élèves (4 heures par semaine en moyenne) avec préparation des concours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18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BCE, élaboration de fiches méthodes, consolidation des acquis en mathématiques, 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• Réalisation de fiches méthodes compilant les exercices clé et les notions incontournables </w:t>
      </w:r>
      <w:r>
        <w:rPr>
          <w:rFonts w:ascii="Times" w:hAnsi="Times" w:eastAsia="Times"/>
          <w:b w:val="0"/>
          <w:i w:val="0"/>
          <w:color w:val="000000"/>
          <w:sz w:val="19"/>
        </w:rPr>
        <w:t>pour maximiser les chances de réussite aux concours.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 xml:space="preserve"> 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(courant, C1), Espagnol (professionnel, B2), Arabe (dialectal)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 xml:space="preserve"> 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Excel, PowerPoint, Photoshop, Tableau, Alteryx (bases), Python (bases)</w:t>
      </w:r>
    </w:p>
    <w:p>
      <w:pPr>
        <w:autoSpaceDN w:val="0"/>
        <w:autoSpaceDE w:val="0"/>
        <w:widowControl/>
        <w:spacing w:line="306" w:lineRule="exact" w:before="8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 Membre du Club de Football HEC (participation au « Derby des Parisiennes 2019 »)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 Géopolitique (podcasts, revues spécialisées…)</w:t>
      </w:r>
    </w:p>
    <w:p>
      <w:pPr>
        <w:autoSpaceDN w:val="0"/>
        <w:autoSpaceDE w:val="0"/>
        <w:widowControl/>
        <w:spacing w:line="254" w:lineRule="exact" w:before="3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 Animation japonaise</w:t>
      </w:r>
    </w:p>
    <w:sectPr w:rsidR="00FC693F" w:rsidRPr="0006063C" w:rsidSect="00034616">
      <w:pgSz w:w="11906" w:h="16838"/>
      <w:pgMar w:top="262" w:right="594" w:bottom="55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ayed.hanafi@he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