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Rapport technique — Object Storage</w:t>
        <w:br/>
        <w:t>GSTechStudent</w:t>
      </w:r>
    </w:p>
    <w:p>
      <w:pPr>
        <w:jc w:val="center"/>
      </w:pPr>
      <w:r>
        <w:rPr>
          <w:i/>
        </w:rPr>
        <w:t>MinIO / S3-compatible • Images de profil • Documents PDF • Justificatifs</w:t>
      </w:r>
    </w:p>
    <w:p>
      <w:pPr>
        <w:pStyle w:val="Heading1"/>
      </w:pPr>
      <w:r>
        <w:t>1. Objet du rapport</w:t>
      </w:r>
    </w:p>
    <w:p>
      <w:r>
        <w:t>Ce rapport présente l’intégration du stockage objet dans GSTechStudent. L’objectif est de ne plus dépendre exclusivement du système de fichiers local du serveur pour les fichiers binaires de l’application. MySQL conserve les métadonnées et les références de stockage, tandis que les fichiers sont stockés dans un service S3-compatible, avec MinIO comme solution locale et Dockerisée.</w:t>
      </w:r>
    </w:p>
    <w:p>
      <w:pPr>
        <w:pStyle w:val="Heading1"/>
      </w:pPr>
      <w:r>
        <w:t>2. Architecture retenue</w:t>
      </w:r>
    </w:p>
    <w:p>
      <w:pPr>
        <w:pStyle w:val="ListBullet"/>
      </w:pPr>
      <w:r>
        <w:t>Application Android → API NestJS : l’application mobile communique uniquement avec l’API.</w:t>
      </w:r>
    </w:p>
    <w:p>
      <w:pPr>
        <w:pStyle w:val="ListBullet"/>
      </w:pPr>
      <w:r>
        <w:t>API NestJS → MySQL : MySQL conserve les données métier et les clés/références des fichiers.</w:t>
      </w:r>
    </w:p>
    <w:p>
      <w:pPr>
        <w:pStyle w:val="ListBullet"/>
      </w:pPr>
      <w:r>
        <w:t>API NestJS → MinIO/S3 : le backend téléverse, lit et supprime les objets.</w:t>
      </w:r>
    </w:p>
    <w:p>
      <w:pPr>
        <w:pStyle w:val="ListBullet"/>
      </w:pPr>
      <w:r>
        <w:t>Android ne reçoit jamais les identifiants d’accès MinIO/S3.</w:t>
      </w:r>
    </w:p>
    <w:p>
      <w:pPr>
        <w:pStyle w:val="ListBullet"/>
      </w:pPr>
      <w:r>
        <w:t>En environnement Docker, MinIO est accessible au backend sur http://object-storage:9000 ; son interface d’administration est exposée séparément sur le port 9001.</w:t>
      </w:r>
    </w:p>
    <w:p>
      <w:pPr>
        <w:pStyle w:val="Heading1"/>
      </w:pPr>
      <w:r>
        <w:t>3. Abstraction FileStorageService</w:t>
      </w:r>
    </w:p>
    <w:p>
      <w:r>
        <w:t>Le backend centralise les opérations de fichiers dans FileStorageService. Cette abstraction permet de conserver deux modes : stockage local historique et stockage S3-compatible.</w:t>
      </w:r>
    </w:p>
    <w:tbl>
      <w:tblPr>
        <w:tblStyle w:val="TableGrid"/>
        <w:tblW w:type="auto" w:w="0"/>
        <w:tblLook w:firstColumn="1" w:firstRow="1" w:lastColumn="0" w:lastRow="0" w:noHBand="0" w:noVBand="1" w:val="04A0"/>
      </w:tblPr>
      <w:tblGrid>
        <w:gridCol w:w="2880"/>
        <w:gridCol w:w="2880"/>
        <w:gridCol w:w="2880"/>
      </w:tblGrid>
      <w:tr>
        <w:tc>
          <w:tcPr>
            <w:tcW w:type="dxa" w:w="2880"/>
          </w:tcPr>
          <w:p>
            <w:r>
              <w:t>Opération</w:t>
            </w:r>
          </w:p>
        </w:tc>
        <w:tc>
          <w:tcPr>
            <w:tcW w:type="dxa" w:w="2880"/>
          </w:tcPr>
          <w:p>
            <w:r>
              <w:t>Mode local</w:t>
            </w:r>
          </w:p>
        </w:tc>
        <w:tc>
          <w:tcPr>
            <w:tcW w:type="dxa" w:w="2880"/>
          </w:tcPr>
          <w:p>
            <w:r>
              <w:t>Mode S3 / MinIO</w:t>
            </w:r>
          </w:p>
        </w:tc>
      </w:tr>
      <w:tr>
        <w:tc>
          <w:tcPr>
            <w:tcW w:type="dxa" w:w="2880"/>
          </w:tcPr>
          <w:p>
            <w:r>
              <w:t>save</w:t>
            </w:r>
          </w:p>
        </w:tc>
        <w:tc>
          <w:tcPr>
            <w:tcW w:type="dxa" w:w="2880"/>
          </w:tcPr>
          <w:p>
            <w:r>
              <w:t>écrit dans UPLOAD_DIR</w:t>
            </w:r>
          </w:p>
        </w:tc>
        <w:tc>
          <w:tcPr>
            <w:tcW w:type="dxa" w:w="2880"/>
          </w:tcPr>
          <w:p>
            <w:r>
              <w:t>PUT objet dans le bucket</w:t>
            </w:r>
          </w:p>
        </w:tc>
      </w:tr>
      <w:tr>
        <w:tc>
          <w:tcPr>
            <w:tcW w:type="dxa" w:w="2880"/>
          </w:tcPr>
          <w:p>
            <w:r>
              <w:t>read</w:t>
            </w:r>
          </w:p>
        </w:tc>
        <w:tc>
          <w:tcPr>
            <w:tcW w:type="dxa" w:w="2880"/>
          </w:tcPr>
          <w:p>
            <w:r>
              <w:t>lecture du fichier</w:t>
            </w:r>
          </w:p>
        </w:tc>
        <w:tc>
          <w:tcPr>
            <w:tcW w:type="dxa" w:w="2880"/>
          </w:tcPr>
          <w:p>
            <w:r>
              <w:t>GET objet</w:t>
            </w:r>
          </w:p>
        </w:tc>
      </w:tr>
      <w:tr>
        <w:tc>
          <w:tcPr>
            <w:tcW w:type="dxa" w:w="2880"/>
          </w:tcPr>
          <w:p>
            <w:r>
              <w:t>remove</w:t>
            </w:r>
          </w:p>
        </w:tc>
        <w:tc>
          <w:tcPr>
            <w:tcW w:type="dxa" w:w="2880"/>
          </w:tcPr>
          <w:p>
            <w:r>
              <w:t>suppression du fichier</w:t>
            </w:r>
          </w:p>
        </w:tc>
        <w:tc>
          <w:tcPr>
            <w:tcW w:type="dxa" w:w="2880"/>
          </w:tcPr>
          <w:p>
            <w:r>
              <w:t>DELETE objet</w:t>
            </w:r>
          </w:p>
        </w:tc>
      </w:tr>
      <w:tr>
        <w:tc>
          <w:tcPr>
            <w:tcW w:type="dxa" w:w="2880"/>
          </w:tcPr>
          <w:p>
            <w:r>
              <w:t>bucket</w:t>
            </w:r>
          </w:p>
        </w:tc>
        <w:tc>
          <w:tcPr>
            <w:tcW w:type="dxa" w:w="2880"/>
          </w:tcPr>
          <w:p>
            <w:r>
              <w:t>non applicable</w:t>
            </w:r>
          </w:p>
        </w:tc>
        <w:tc>
          <w:tcPr>
            <w:tcW w:type="dxa" w:w="2880"/>
          </w:tcPr>
          <w:p>
            <w:r>
              <w:t>vérification/création automatique au démarrage</w:t>
            </w:r>
          </w:p>
        </w:tc>
      </w:tr>
    </w:tbl>
    <w:p>
      <w:pPr>
        <w:pStyle w:val="Heading1"/>
      </w:pPr>
      <w:r>
        <w:t>4. Organisation des objets</w:t>
      </w:r>
    </w:p>
    <w:p>
      <w:pPr>
        <w:pStyle w:val="ListBullet"/>
      </w:pPr>
      <w:r>
        <w:t>profiles/&lt;user-id&gt;.&lt;ext&gt; — photos de profil.</w:t>
      </w:r>
    </w:p>
    <w:p>
      <w:pPr>
        <w:pStyle w:val="ListBullet"/>
      </w:pPr>
      <w:r>
        <w:t>documents/... — documents administratifs PDF transmis par le Gestionnaire et destinés au workflow de validation.</w:t>
      </w:r>
    </w:p>
    <w:p>
      <w:pPr>
        <w:pStyle w:val="ListBullet"/>
      </w:pPr>
      <w:r>
        <w:t>justifications/... — pièces jointes associées aux justificatifs d’absence.</w:t>
      </w:r>
    </w:p>
    <w:p>
      <w:pPr>
        <w:pStyle w:val="ListBullet"/>
      </w:pPr>
      <w:r>
        <w:t>generated-documents/&lt;id-demande&gt;-&lt;uuid&gt;.pdf — documents PDF générés pour les demandes des stagiaires.</w:t>
      </w:r>
    </w:p>
    <w:p>
      <w:pPr>
        <w:pStyle w:val="Heading1"/>
      </w:pPr>
      <w:r>
        <w:t>5. Images de profil</w:t>
      </w:r>
    </w:p>
    <w:p>
      <w:r>
        <w:t>Le profil utilisateur possède désormais une référence profile_image_key. Lorsqu’un utilisateur envoie une image, l’API reçoit le fichier en mémoire, le transmet au service de stockage et conserve uniquement la clé de l’objet en base. L’ancienne image est supprimée lorsque la nouvelle clé est différente.</w:t>
      </w:r>
    </w:p>
    <w:p>
      <w:r>
        <w:t>Les endpoints de consultation renvoient le contenu de l’image via l’API avec Content-Type approprié et une politique de cache privée. Les accès à la photo d’un autre utilisateur restent contrôlés par les rôles.</w:t>
      </w:r>
    </w:p>
    <w:p>
      <w:pPr>
        <w:pStyle w:val="Heading1"/>
      </w:pPr>
      <w:r>
        <w:t>6. Documents et justificatifs</w:t>
      </w:r>
    </w:p>
    <w:p>
      <w:r>
        <w:t>Les services Documents, Document Requests et Justifications utilisent la même abstraction de stockage. Ainsi, le changement de stockage ne nécessite pas de réécrire la logique métier de ces modules.</w:t>
      </w:r>
    </w:p>
    <w:p>
      <w:pPr>
        <w:pStyle w:val="ListBullet"/>
      </w:pPr>
      <w:r>
        <w:t>Document administratif : upload PDF → stockage objet → clé enregistrée en base.</w:t>
      </w:r>
    </w:p>
    <w:p>
      <w:pPr>
        <w:pStyle w:val="ListBullet"/>
      </w:pPr>
      <w:r>
        <w:t>Demande de document : génération du PDF → stockage dans generated-documents → récupération via l’API.</w:t>
      </w:r>
    </w:p>
    <w:p>
      <w:pPr>
        <w:pStyle w:val="ListBullet"/>
      </w:pPr>
      <w:r>
        <w:t>Justificatif : pièce jointe → stockage dans justifications → lecture/suppression via le service commun.</w:t>
      </w:r>
    </w:p>
    <w:p>
      <w:pPr>
        <w:pStyle w:val="Heading1"/>
      </w:pPr>
      <w:r>
        <w:t>7. Configuration</w:t>
      </w:r>
    </w:p>
    <w:tbl>
      <w:tblPr>
        <w:tblStyle w:val="TableGrid"/>
        <w:tblW w:type="auto" w:w="0"/>
        <w:tblLook w:firstColumn="1" w:firstRow="1" w:lastColumn="0" w:lastRow="0" w:noHBand="0" w:noVBand="1" w:val="04A0"/>
      </w:tblPr>
      <w:tblGrid>
        <w:gridCol w:w="2880"/>
        <w:gridCol w:w="2880"/>
        <w:gridCol w:w="2880"/>
      </w:tblGrid>
      <w:tr>
        <w:tc>
          <w:tcPr>
            <w:tcW w:type="dxa" w:w="2880"/>
          </w:tcPr>
          <w:p>
            <w:r>
              <w:t>Variable</w:t>
            </w:r>
          </w:p>
        </w:tc>
        <w:tc>
          <w:tcPr>
            <w:tcW w:type="dxa" w:w="2880"/>
          </w:tcPr>
          <w:p>
            <w:r>
              <w:t>Exemple</w:t>
            </w:r>
          </w:p>
        </w:tc>
        <w:tc>
          <w:tcPr>
            <w:tcW w:type="dxa" w:w="2880"/>
          </w:tcPr>
          <w:p>
            <w:r>
              <w:t>Rôle</w:t>
            </w:r>
          </w:p>
        </w:tc>
      </w:tr>
      <w:tr>
        <w:tc>
          <w:tcPr>
            <w:tcW w:type="dxa" w:w="2880"/>
          </w:tcPr>
          <w:p>
            <w:r>
              <w:t>STORAGE_DRIVER</w:t>
            </w:r>
          </w:p>
        </w:tc>
        <w:tc>
          <w:tcPr>
            <w:tcW w:type="dxa" w:w="2880"/>
          </w:tcPr>
          <w:p>
            <w:r>
              <w:t>s3</w:t>
            </w:r>
          </w:p>
        </w:tc>
        <w:tc>
          <w:tcPr>
            <w:tcW w:type="dxa" w:w="2880"/>
          </w:tcPr>
          <w:p>
            <w:r>
              <w:t>active le stockage S3-compatible</w:t>
            </w:r>
          </w:p>
        </w:tc>
      </w:tr>
      <w:tr>
        <w:tc>
          <w:tcPr>
            <w:tcW w:type="dxa" w:w="2880"/>
          </w:tcPr>
          <w:p>
            <w:r>
              <w:t>STORAGE_ENDPOINT</w:t>
            </w:r>
          </w:p>
        </w:tc>
        <w:tc>
          <w:tcPr>
            <w:tcW w:type="dxa" w:w="2880"/>
          </w:tcPr>
          <w:p>
            <w:r>
              <w:t>http://object-storage:9000</w:t>
            </w:r>
          </w:p>
        </w:tc>
        <w:tc>
          <w:tcPr>
            <w:tcW w:type="dxa" w:w="2880"/>
          </w:tcPr>
          <w:p>
            <w:r>
              <w:t>endpoint MinIO dans Docker</w:t>
            </w:r>
          </w:p>
        </w:tc>
      </w:tr>
      <w:tr>
        <w:tc>
          <w:tcPr>
            <w:tcW w:type="dxa" w:w="2880"/>
          </w:tcPr>
          <w:p>
            <w:r>
              <w:t>STORAGE_ACCESS_KEY</w:t>
            </w:r>
          </w:p>
        </w:tc>
        <w:tc>
          <w:tcPr>
            <w:tcW w:type="dxa" w:w="2880"/>
          </w:tcPr>
          <w:p>
            <w:r>
              <w:t>secret</w:t>
            </w:r>
          </w:p>
        </w:tc>
        <w:tc>
          <w:tcPr>
            <w:tcW w:type="dxa" w:w="2880"/>
          </w:tcPr>
          <w:p>
            <w:r>
              <w:t>identifiant MinIO/S3</w:t>
            </w:r>
          </w:p>
        </w:tc>
      </w:tr>
      <w:tr>
        <w:tc>
          <w:tcPr>
            <w:tcW w:type="dxa" w:w="2880"/>
          </w:tcPr>
          <w:p>
            <w:r>
              <w:t>STORAGE_SECRET_KEY</w:t>
            </w:r>
          </w:p>
        </w:tc>
        <w:tc>
          <w:tcPr>
            <w:tcW w:type="dxa" w:w="2880"/>
          </w:tcPr>
          <w:p>
            <w:r>
              <w:t>secret</w:t>
            </w:r>
          </w:p>
        </w:tc>
        <w:tc>
          <w:tcPr>
            <w:tcW w:type="dxa" w:w="2880"/>
          </w:tcPr>
          <w:p>
            <w:r>
              <w:t>clé secrète MinIO/S3</w:t>
            </w:r>
          </w:p>
        </w:tc>
      </w:tr>
      <w:tr>
        <w:tc>
          <w:tcPr>
            <w:tcW w:type="dxa" w:w="2880"/>
          </w:tcPr>
          <w:p>
            <w:r>
              <w:t>STORAGE_BUCKET</w:t>
            </w:r>
          </w:p>
        </w:tc>
        <w:tc>
          <w:tcPr>
            <w:tcW w:type="dxa" w:w="2880"/>
          </w:tcPr>
          <w:p>
            <w:r>
              <w:t>gstech</w:t>
            </w:r>
          </w:p>
        </w:tc>
        <w:tc>
          <w:tcPr>
            <w:tcW w:type="dxa" w:w="2880"/>
          </w:tcPr>
          <w:p>
            <w:r>
              <w:t>bucket applicatif</w:t>
            </w:r>
          </w:p>
        </w:tc>
      </w:tr>
      <w:tr>
        <w:tc>
          <w:tcPr>
            <w:tcW w:type="dxa" w:w="2880"/>
          </w:tcPr>
          <w:p>
            <w:r>
              <w:t>STORAGE_REGION</w:t>
            </w:r>
          </w:p>
        </w:tc>
        <w:tc>
          <w:tcPr>
            <w:tcW w:type="dxa" w:w="2880"/>
          </w:tcPr>
          <w:p>
            <w:r>
              <w:t>us-east-1</w:t>
            </w:r>
          </w:p>
        </w:tc>
        <w:tc>
          <w:tcPr>
            <w:tcW w:type="dxa" w:w="2880"/>
          </w:tcPr>
          <w:p>
            <w:r>
              <w:t>région S3 utilisée pour la signature</w:t>
            </w:r>
          </w:p>
        </w:tc>
      </w:tr>
      <w:tr>
        <w:tc>
          <w:tcPr>
            <w:tcW w:type="dxa" w:w="2880"/>
          </w:tcPr>
          <w:p>
            <w:r>
              <w:t>STORAGE_FALLBACK_LOCAL</w:t>
            </w:r>
          </w:p>
        </w:tc>
        <w:tc>
          <w:tcPr>
            <w:tcW w:type="dxa" w:w="2880"/>
          </w:tcPr>
          <w:p>
            <w:r>
              <w:t>true</w:t>
            </w:r>
          </w:p>
        </w:tc>
        <w:tc>
          <w:tcPr>
            <w:tcW w:type="dxa" w:w="2880"/>
          </w:tcPr>
          <w:p>
            <w:r>
              <w:t>permet la lecture de fichiers historiques locaux en cas de besoin</w:t>
            </w:r>
          </w:p>
        </w:tc>
      </w:tr>
      <w:tr>
        <w:tc>
          <w:tcPr>
            <w:tcW w:type="dxa" w:w="2880"/>
          </w:tcPr>
          <w:p>
            <w:r>
              <w:t>UPLOAD_DIR</w:t>
            </w:r>
          </w:p>
        </w:tc>
        <w:tc>
          <w:tcPr>
            <w:tcW w:type="dxa" w:w="2880"/>
          </w:tcPr>
          <w:p>
            <w:r>
              <w:t>/app/uploads</w:t>
            </w:r>
          </w:p>
        </w:tc>
        <w:tc>
          <w:tcPr>
            <w:tcW w:type="dxa" w:w="2880"/>
          </w:tcPr>
          <w:p>
            <w:r>
              <w:t>répertoire historique/local de compatibilité</w:t>
            </w:r>
          </w:p>
        </w:tc>
      </w:tr>
    </w:tbl>
    <w:p>
      <w:pPr>
        <w:pStyle w:val="Heading1"/>
      </w:pPr>
      <w:r>
        <w:t>8. Déploiement Docker</w:t>
      </w:r>
    </w:p>
    <w:p>
      <w:r>
        <w:t>Le docker-compose du projet ajoute un service object-storage basé sur MinIO avec un volume persistant object_storage_data. Le backend dépend du démarrage sain de MySQL et du service de stockage objet. Les données MinIO persistent indépendamment du conteneur grâce au volume Docker.</w:t>
      </w:r>
    </w:p>
    <w:p>
      <w:r>
        <w:t>Les secrets doivent rester dans .env et ne doivent pas être intégrés dans l’application Android, le dépôt public ou les fichiers de configuration distribués aux utilisateurs.</w:t>
      </w:r>
    </w:p>
    <w:p>
      <w:pPr>
        <w:pStyle w:val="Heading1"/>
      </w:pPr>
      <w:r>
        <w:t>9. Compatibilité avec l’ancien stockage local</w:t>
      </w:r>
    </w:p>
    <w:p>
      <w:r>
        <w:t>Lorsque STORAGE_DRIVER=s3 et STORAGE_FALLBACK_LOCAL=true, les nouveaux fichiers sont stockés dans MinIO, mais les anciens chemins locaux peuvent encore être lus. Cette stratégie facilite une migration progressive avant la suppression définitive du volume uploads.</w:t>
      </w:r>
    </w:p>
    <w:p>
      <w:pPr>
        <w:pStyle w:val="Heading1"/>
      </w:pPr>
      <w:r>
        <w:t>10. Sécurité</w:t>
      </w:r>
    </w:p>
    <w:p>
      <w:pPr>
        <w:pStyle w:val="ListBullet"/>
      </w:pPr>
      <w:r>
        <w:t>Les identifiants S3/MinIO restent côté serveur.</w:t>
      </w:r>
    </w:p>
    <w:p>
      <w:pPr>
        <w:pStyle w:val="ListBullet"/>
      </w:pPr>
      <w:r>
        <w:t>L’application Android ne contacte pas directement MinIO.</w:t>
      </w:r>
    </w:p>
    <w:p>
      <w:pPr>
        <w:pStyle w:val="ListBullet"/>
      </w:pPr>
      <w:r>
        <w:t>Les fichiers passent par les contrôles d’autorisation de l’API.</w:t>
      </w:r>
    </w:p>
    <w:p>
      <w:pPr>
        <w:pStyle w:val="ListBullet"/>
      </w:pPr>
      <w:r>
        <w:t>Les fichiers PDF et images sont servis avec leur type MIME attendu.</w:t>
      </w:r>
    </w:p>
    <w:p>
      <w:pPr>
        <w:pStyle w:val="ListBullet"/>
      </w:pPr>
      <w:r>
        <w:t>Les tailles d’upload sont limitées côté API pour les fichiers concernés.</w:t>
      </w:r>
    </w:p>
    <w:p>
      <w:pPr>
        <w:pStyle w:val="ListBullet"/>
      </w:pPr>
      <w:r>
        <w:t>Les clés d’objets sont stockées en base, et non le contenu binaire lui-même.</w:t>
      </w:r>
    </w:p>
    <w:p>
      <w:pPr>
        <w:pStyle w:val="ListBullet"/>
      </w:pPr>
      <w:r>
        <w:t>En production, l’endpoint externe doit être protégé par HTTPS et les secrets doivent être forts et non partagés.</w:t>
      </w:r>
    </w:p>
    <w:p>
      <w:pPr>
        <w:pStyle w:val="Heading1"/>
      </w:pPr>
      <w:r>
        <w:t>11. Bénéfices</w:t>
      </w:r>
    </w:p>
    <w:p>
      <w:pPr>
        <w:pStyle w:val="ListBullet"/>
      </w:pPr>
      <w:r>
        <w:t>Séparation entre données métier et fichiers binaires.</w:t>
      </w:r>
    </w:p>
    <w:p>
      <w:pPr>
        <w:pStyle w:val="ListBullet"/>
      </w:pPr>
      <w:r>
        <w:t>Stockage persistant indépendant du conteneur backend.</w:t>
      </w:r>
    </w:p>
    <w:p>
      <w:pPr>
        <w:pStyle w:val="ListBullet"/>
      </w:pPr>
      <w:r>
        <w:t>Architecture compatible avec MinIO et les services S3 compatibles.</w:t>
      </w:r>
    </w:p>
    <w:p>
      <w:pPr>
        <w:pStyle w:val="ListBullet"/>
      </w:pPr>
      <w:r>
        <w:t>Centralisation des opérations de fichiers dans un seul service.</w:t>
      </w:r>
    </w:p>
    <w:p>
      <w:pPr>
        <w:pStyle w:val="ListBullet"/>
      </w:pPr>
      <w:r>
        <w:t>Migration progressive depuis l’ancien stockage local.</w:t>
      </w:r>
    </w:p>
    <w:p>
      <w:pPr>
        <w:pStyle w:val="ListBullet"/>
      </w:pPr>
      <w:r>
        <w:t>Meilleure évolutivité pour les images, PDF et pièces jointes.</w:t>
      </w:r>
    </w:p>
    <w:p>
      <w:pPr>
        <w:pStyle w:val="Heading1"/>
      </w:pPr>
      <w:r>
        <w:t>12. Points de vérification avant production</w:t>
      </w:r>
    </w:p>
    <w:p>
      <w:pPr>
        <w:pStyle w:val="ListBullet"/>
      </w:pPr>
      <w:r>
        <w:t>Vérifier les valeurs STORAGE_ACCESS_KEY et STORAGE_SECRET_KEY et ne jamais utiliser les identifiants de démonstration.</w:t>
      </w:r>
    </w:p>
    <w:p>
      <w:pPr>
        <w:pStyle w:val="ListBullet"/>
      </w:pPr>
      <w:r>
        <w:t>Vérifier les permissions du bucket afin que les objets ne soient pas publiquement accessibles par défaut.</w:t>
      </w:r>
    </w:p>
    <w:p>
      <w:pPr>
        <w:pStyle w:val="ListBullet"/>
      </w:pPr>
      <w:r>
        <w:t>Utiliser HTTPS pour l’API et, si MinIO est exposé hors réseau interne, pour l’endpoint de stockage.</w:t>
      </w:r>
    </w:p>
    <w:p>
      <w:pPr>
        <w:pStyle w:val="ListBullet"/>
      </w:pPr>
      <w:r>
        <w:t>Tester upload, lecture et suppression pour une photo, un justificatif et un PDF généré.</w:t>
      </w:r>
    </w:p>
    <w:p>
      <w:pPr>
        <w:pStyle w:val="ListBullet"/>
      </w:pPr>
      <w:r>
        <w:t>Conserver un mécanisme de sauvegarde du volume object_storage_data.</w:t>
      </w:r>
    </w:p>
    <w:p>
      <w:pPr>
        <w:pStyle w:val="ListBullet"/>
      </w:pPr>
      <w:r>
        <w:t>Migrer les anciens fichiers locaux vers le stockage objet avant de supprimer le volume uploads.</w:t>
      </w:r>
    </w:p>
    <w:p>
      <w:pPr>
        <w:pStyle w:val="Heading1"/>
      </w:pPr>
      <w:r>
        <w:t>13. Conclusion</w:t>
      </w:r>
    </w:p>
    <w:p>
      <w:r>
        <w:t>L’intégration Object Storage de GSTechStudent fournit une couche de stockage unifiée pour les photos de profil, les documents PDF, les justificatifs et les documents générés. Le backend reste l’unique point d’accès aux fichiers, tandis que MySQL conserve les références nécessaires au fonctionnement métier. Cette architecture prépare le projet à un déploiement serveur plus robuste et à un éventuel remplacement de MinIO par un autre service compatible S3 sans modification majeure des modules métier.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