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Mentre il Master avrà la possibilità di visionare e modificare tutte le informazioni associate ai singoli giocatori oltre a poter salvare e gestire: mappa, trama (del gioco), informazioni sui luoghi e informazioni sugli NPC.</w:t>
        <w:br w:type="textWrapping"/>
      </w:r>
    </w:p>
    <w:p w:rsidR="00000000" w:rsidDel="00000000" w:rsidP="00000000" w:rsidRDefault="00000000" w:rsidRPr="00000000" w14:paraId="00000009">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w:t>
        <w:br w:type="textWrapping"/>
        <w:br w:type="textWrapping"/>
        <w:t xml:space="preserve">Una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info varie</w:t>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attori: master, giocatori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info a disposizione del master: mappa, trama (del gioco), informazioni sui luoghi, informazioni sugli NPC, tutte le informazioni dei giocatori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