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Politique de rétention des données</w:t>
      </w:r>
    </w:p>
    <w:p>
      <w:pPr>
        <w:jc w:val="center"/>
      </w:pPr>
      <w:r>
        <w:rPr>
          <w:b/>
          <w:sz w:val="22"/>
        </w:rPr>
        <w:t>EduTutor IA – Perturbation J3-bis RGPD</w:t>
      </w:r>
    </w:p>
    <w:p>
      <w:r>
        <w:t>Cette politique décrit les durées de conservation, les bases légales et les modalités de suppression des données traitées par EduTutor IA dans le cadre du MVP.</w:t>
      </w:r>
    </w:p>
    <w:p>
      <w:pPr>
        <w:pStyle w:val="Heading1"/>
      </w:pPr>
      <w:r>
        <w:t>1. Durées de conservation par type de donnée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8"/>
          </w:tcPr>
          <w:p>
            <w:r/>
            <w:r>
              <w:rPr>
                <w:b/>
                <w:color w:val="FFFFFF"/>
                <w:sz w:val="16"/>
              </w:rPr>
              <w:t>Type de donnée</w:t>
            </w:r>
          </w:p>
        </w:tc>
        <w:tc>
          <w:tcPr>
            <w:tcW w:type="dxa" w:w="3456"/>
            <w:vAlign w:val="top"/>
            <w:shd w:fill="1F4E78"/>
          </w:tcPr>
          <w:p>
            <w:r/>
            <w:r>
              <w:rPr>
                <w:b/>
                <w:color w:val="FFFFFF"/>
                <w:sz w:val="16"/>
              </w:rPr>
              <w:t>Exemples</w:t>
            </w:r>
          </w:p>
        </w:tc>
        <w:tc>
          <w:tcPr>
            <w:tcW w:type="dxa" w:w="3456"/>
            <w:vAlign w:val="top"/>
            <w:shd w:fill="1F4E78"/>
          </w:tcPr>
          <w:p>
            <w:r/>
            <w:r>
              <w:rPr>
                <w:b/>
                <w:color w:val="FFFFFF"/>
                <w:sz w:val="16"/>
              </w:rPr>
              <w:t>Durée de conservation</w:t>
            </w:r>
          </w:p>
        </w:tc>
      </w:tr>
      <w:tr>
        <w:tc>
          <w:tcPr>
            <w:tcW w:type="dxa" w:w="3456"/>
            <w:vAlign w:val="top"/>
          </w:tcPr>
          <w:p>
            <w:r/>
            <w:r>
              <w:rPr>
                <w:b w:val="0"/>
                <w:sz w:val="16"/>
              </w:rPr>
              <w:t>Compte utilisateur</w:t>
            </w:r>
          </w:p>
        </w:tc>
        <w:tc>
          <w:tcPr>
            <w:tcW w:type="dxa" w:w="3456"/>
            <w:vAlign w:val="top"/>
          </w:tcPr>
          <w:p>
            <w:r/>
            <w:r>
              <w:rPr>
                <w:b w:val="0"/>
                <w:sz w:val="16"/>
              </w:rPr>
              <w:t>Email, identifiant, date de création, statut du compte</w:t>
            </w:r>
          </w:p>
        </w:tc>
        <w:tc>
          <w:tcPr>
            <w:tcW w:type="dxa" w:w="3456"/>
            <w:vAlign w:val="top"/>
          </w:tcPr>
          <w:p>
            <w:r/>
            <w:r>
              <w:rPr>
                <w:b w:val="0"/>
                <w:sz w:val="16"/>
              </w:rPr>
              <w:t>Tant que le compte est actif, puis suppression sous 30 jours après demande.</w:t>
            </w:r>
          </w:p>
        </w:tc>
      </w:tr>
      <w:tr>
        <w:tc>
          <w:tcPr>
            <w:tcW w:type="dxa" w:w="3456"/>
            <w:vAlign w:val="top"/>
          </w:tcPr>
          <w:p>
            <w:r/>
            <w:r>
              <w:rPr>
                <w:b w:val="0"/>
                <w:sz w:val="16"/>
              </w:rPr>
              <w:t>Cours et textes uploadés</w:t>
            </w:r>
          </w:p>
        </w:tc>
        <w:tc>
          <w:tcPr>
            <w:tcW w:type="dxa" w:w="3456"/>
            <w:vAlign w:val="top"/>
          </w:tcPr>
          <w:p>
            <w:r/>
            <w:r>
              <w:rPr>
                <w:b w:val="0"/>
                <w:sz w:val="16"/>
              </w:rPr>
              <w:t>PDF, texte source, contenu extrait</w:t>
            </w:r>
          </w:p>
        </w:tc>
        <w:tc>
          <w:tcPr>
            <w:tcW w:type="dxa" w:w="3456"/>
            <w:vAlign w:val="top"/>
          </w:tcPr>
          <w:p>
            <w:r/>
            <w:r>
              <w:rPr>
                <w:b w:val="0"/>
                <w:sz w:val="16"/>
              </w:rPr>
              <w:t>Tant que l'utilisateur conserve son compte ou jusqu'à suppression manuelle.</w:t>
            </w:r>
          </w:p>
        </w:tc>
      </w:tr>
      <w:tr>
        <w:tc>
          <w:tcPr>
            <w:tcW w:type="dxa" w:w="3456"/>
            <w:vAlign w:val="top"/>
          </w:tcPr>
          <w:p>
            <w:r/>
            <w:r>
              <w:rPr>
                <w:b w:val="0"/>
                <w:sz w:val="16"/>
              </w:rPr>
              <w:t>Quiz générés</w:t>
            </w:r>
          </w:p>
        </w:tc>
        <w:tc>
          <w:tcPr>
            <w:tcW w:type="dxa" w:w="3456"/>
            <w:vAlign w:val="top"/>
          </w:tcPr>
          <w:p>
            <w:r/>
            <w:r>
              <w:rPr>
                <w:b w:val="0"/>
                <w:sz w:val="16"/>
              </w:rPr>
              <w:t>Questions, options, bonne réponse, date de génération</w:t>
            </w:r>
          </w:p>
        </w:tc>
        <w:tc>
          <w:tcPr>
            <w:tcW w:type="dxa" w:w="3456"/>
            <w:vAlign w:val="top"/>
          </w:tcPr>
          <w:p>
            <w:r/>
            <w:r>
              <w:rPr>
                <w:b w:val="0"/>
                <w:sz w:val="16"/>
              </w:rPr>
              <w:t>Tant que le compte est actif afin de permettre l'historique et la progression.</w:t>
            </w:r>
          </w:p>
        </w:tc>
      </w:tr>
      <w:tr>
        <w:tc>
          <w:tcPr>
            <w:tcW w:type="dxa" w:w="3456"/>
            <w:vAlign w:val="top"/>
          </w:tcPr>
          <w:p>
            <w:r/>
            <w:r>
              <w:rPr>
                <w:b w:val="0"/>
                <w:sz w:val="16"/>
              </w:rPr>
              <w:t>Réponses et scores</w:t>
            </w:r>
          </w:p>
        </w:tc>
        <w:tc>
          <w:tcPr>
            <w:tcW w:type="dxa" w:w="3456"/>
            <w:vAlign w:val="top"/>
          </w:tcPr>
          <w:p>
            <w:r/>
            <w:r>
              <w:rPr>
                <w:b w:val="0"/>
                <w:sz w:val="16"/>
              </w:rPr>
              <w:t>Réponses sélectionnées, score /10, date de passage</w:t>
            </w:r>
          </w:p>
        </w:tc>
        <w:tc>
          <w:tcPr>
            <w:tcW w:type="dxa" w:w="3456"/>
            <w:vAlign w:val="top"/>
          </w:tcPr>
          <w:p>
            <w:r/>
            <w:r>
              <w:rPr>
                <w:b w:val="0"/>
                <w:sz w:val="16"/>
              </w:rPr>
              <w:t>Tant que le compte est actif, sauf demande d'effacement.</w:t>
            </w:r>
          </w:p>
        </w:tc>
      </w:tr>
      <w:tr>
        <w:tc>
          <w:tcPr>
            <w:tcW w:type="dxa" w:w="3456"/>
            <w:vAlign w:val="top"/>
          </w:tcPr>
          <w:p>
            <w:r/>
            <w:r>
              <w:rPr>
                <w:b w:val="0"/>
                <w:sz w:val="16"/>
              </w:rPr>
              <w:t>Signalements</w:t>
            </w:r>
          </w:p>
        </w:tc>
        <w:tc>
          <w:tcPr>
            <w:tcW w:type="dxa" w:w="3456"/>
            <w:vAlign w:val="top"/>
          </w:tcPr>
          <w:p>
            <w:r/>
            <w:r>
              <w:rPr>
                <w:b w:val="0"/>
                <w:sz w:val="16"/>
              </w:rPr>
              <w:t>Signalement d'erreur, commentaire, date</w:t>
            </w:r>
          </w:p>
        </w:tc>
        <w:tc>
          <w:tcPr>
            <w:tcW w:type="dxa" w:w="3456"/>
            <w:vAlign w:val="top"/>
          </w:tcPr>
          <w:p>
            <w:r/>
            <w:r>
              <w:rPr>
                <w:b w:val="0"/>
                <w:sz w:val="16"/>
              </w:rPr>
              <w:t>3 ans maximum pour suivi qualité et preuve de traitement.</w:t>
            </w:r>
          </w:p>
        </w:tc>
      </w:tr>
      <w:tr>
        <w:tc>
          <w:tcPr>
            <w:tcW w:type="dxa" w:w="3456"/>
            <w:vAlign w:val="top"/>
          </w:tcPr>
          <w:p>
            <w:r/>
            <w:r>
              <w:rPr>
                <w:b w:val="0"/>
                <w:sz w:val="16"/>
              </w:rPr>
              <w:t>Logs d'audit SAR</w:t>
            </w:r>
          </w:p>
        </w:tc>
        <w:tc>
          <w:tcPr>
            <w:tcW w:type="dxa" w:w="3456"/>
            <w:vAlign w:val="top"/>
          </w:tcPr>
          <w:p>
            <w:r/>
            <w:r>
              <w:rPr>
                <w:b w:val="0"/>
                <w:sz w:val="16"/>
              </w:rPr>
              <w:t>Demande d'accès, statut, hash export, date de réponse</w:t>
            </w:r>
          </w:p>
        </w:tc>
        <w:tc>
          <w:tcPr>
            <w:tcW w:type="dxa" w:w="3456"/>
            <w:vAlign w:val="top"/>
          </w:tcPr>
          <w:p>
            <w:r/>
            <w:r>
              <w:rPr>
                <w:b w:val="0"/>
                <w:sz w:val="16"/>
              </w:rPr>
              <w:t>12 mois après clôture de la demande.</w:t>
            </w:r>
          </w:p>
        </w:tc>
      </w:tr>
    </w:tbl>
    <w:p>
      <w:pPr>
        <w:pStyle w:val="Heading1"/>
      </w:pPr>
      <w:r>
        <w:t>2. Motifs légaux de traitement</w:t>
      </w:r>
    </w:p>
    <w:p>
      <w:pPr>
        <w:pStyle w:val="ListBullet"/>
      </w:pPr>
      <w:r>
        <w:t>Compte utilisateur : exécution du service demandé par l'utilisateur.</w:t>
      </w:r>
    </w:p>
    <w:p>
      <w:pPr>
        <w:pStyle w:val="ListBullet"/>
      </w:pPr>
      <w:r>
        <w:t>Cours, quiz, réponses et scores : exécution du contrat d'utilisation et fourniture du service de révision.</w:t>
      </w:r>
    </w:p>
    <w:p>
      <w:pPr>
        <w:pStyle w:val="ListBullet"/>
      </w:pPr>
      <w:r>
        <w:t>Signalements : intérêt légitime d'amélioration du service et de correction des erreurs.</w:t>
      </w:r>
    </w:p>
    <w:p>
      <w:pPr>
        <w:pStyle w:val="ListBullet"/>
      </w:pPr>
      <w:r>
        <w:t>Logs d'audit SAR : obligation légale de démontrer le traitement des demandes RGPD.</w:t>
      </w:r>
    </w:p>
    <w:p>
      <w:pPr>
        <w:pStyle w:val="ListBullet"/>
      </w:pPr>
      <w:r>
        <w:t>Sécurité applicative : intérêt légitime de protection du service et des utilisateurs.</w:t>
      </w:r>
    </w:p>
    <w:p>
      <w:pPr>
        <w:pStyle w:val="Heading1"/>
      </w:pPr>
      <w:r>
        <w:t>3. Modalités de suppression – Article 17 RGPD</w:t>
      </w:r>
    </w:p>
    <w:p>
      <w:r>
        <w:t>L'utilisateur peut demander la suppression de son compte et de ses données associées. La suppression entraîne l'effacement des cours uploadés, quiz, réponses et scores rattachés au compte. Les logs d'audit nécessaires à la preuve de conformité peuvent être conservés temporairement pendant 12 mois, avec minimisation des informations conservées.</w:t>
      </w:r>
    </w:p>
    <w:p>
      <w:r>
        <w:t>Une procédure manuelle peut être activée par le DPO fictif pour répondre aux demandes d'effacement. À terme, une tâche automatisée pourra supprimer les données expirées selon les durées indiquées ci-dessus.</w:t>
      </w:r>
    </w:p>
    <w:p>
      <w:pPr>
        <w:pStyle w:val="Heading1"/>
      </w:pPr>
      <w:r>
        <w:t>Contact DPO</w:t>
      </w:r>
    </w:p>
    <w:p>
      <w:r>
        <w:t>Contact fictif : dpo@edututor.local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