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98F10">
      <w:pPr>
        <w:pStyle w:val="31"/>
        <w:keepNext/>
        <w:widowControl/>
        <w:spacing w:before="0" w:after="80" w:line="264" w:lineRule="auto"/>
        <w:jc w:val="center"/>
      </w:pPr>
      <w:r>
        <w:rPr>
          <w:rFonts w:ascii="微软雅黑" w:hAnsi="微软雅黑" w:eastAsia="微软雅黑"/>
          <w:b/>
          <w:i w:val="0"/>
          <w:color w:val="20262E"/>
          <w:sz w:val="48"/>
        </w:rPr>
        <w:t>往届大挑优秀团队介绍活动策划书</w:t>
      </w:r>
    </w:p>
    <w:p w14:paraId="439C9F98">
      <w:pPr>
        <w:keepNext/>
        <w:widowControl/>
        <w:spacing w:before="0" w:after="60" w:line="264" w:lineRule="auto"/>
        <w:jc w:val="center"/>
      </w:pPr>
      <w:r>
        <w:rPr>
          <w:rFonts w:ascii="微软雅黑" w:hAnsi="微软雅黑" w:eastAsia="微软雅黑"/>
          <w:b/>
          <w:i w:val="0"/>
          <w:color w:val="1F3A5B"/>
          <w:sz w:val="24"/>
        </w:rPr>
        <w:t>以哈尔滨工程大学御磁坚盾团队为介绍对象</w:t>
      </w:r>
    </w:p>
    <w:p w14:paraId="46111B53">
      <w:pPr>
        <w:keepNext w:val="0"/>
        <w:widowControl/>
        <w:spacing w:before="0" w:after="240" w:line="240" w:lineRule="auto"/>
        <w:jc w:val="center"/>
      </w:pPr>
      <w:r>
        <w:rPr>
          <w:rFonts w:ascii="微软雅黑" w:hAnsi="微软雅黑" w:eastAsia="微软雅黑"/>
          <w:b w:val="0"/>
          <w:i w:val="0"/>
          <w:color w:val="66788A"/>
          <w:sz w:val="18"/>
        </w:rPr>
        <w:t>C组面试任务方案  ·  厦门大学学生会科创中心竞赛服务部  ·  2026年10月</w:t>
      </w:r>
    </w:p>
    <w:p w14:paraId="611542C1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本方案拟通过一场面向厦门大学本科生的主题介绍活动，讲清哈尔滨工程大学“御磁坚盾”团队的项目背景、三项技术方向、竞赛成果和公开团队信息。活动内容以学校官方报道为主要依据，对媒体报道中的性能比较数据和未公开的成员分工注明边界，避免把应用设想、成果转化交流写成已实现的商业化成果。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3"/>
        <w:gridCol w:w="4773"/>
      </w:tblGrid>
      <w:tr w14:paraId="687D50F5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EC315AB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7992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123A1AB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安排</w:t>
            </w:r>
          </w:p>
        </w:tc>
      </w:tr>
      <w:tr w14:paraId="2DF0FB11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5CDA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活动名称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3F4A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往届“大挑”优秀团队介绍</w:t>
            </w:r>
          </w:p>
        </w:tc>
      </w:tr>
      <w:tr w14:paraId="61B0C5D3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1463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介绍对象</w:t>
            </w:r>
          </w:p>
        </w:tc>
        <w:tc>
          <w:tcPr>
            <w:tcW w:w="799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9BB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哈尔滨工程大学“御磁坚盾”团队及其镁锂基电磁屏蔽材料项目</w:t>
            </w:r>
          </w:p>
        </w:tc>
      </w:tr>
      <w:tr w14:paraId="7CB0D1A1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4615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主办建议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5A74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厦门大学学生会科创中心竞赛服务部</w:t>
            </w:r>
          </w:p>
        </w:tc>
      </w:tr>
      <w:tr w14:paraId="2A78833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1A9A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活动主题</w:t>
            </w:r>
          </w:p>
        </w:tc>
        <w:tc>
          <w:tcPr>
            <w:tcW w:w="799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9127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从工程需求认识材料创新</w:t>
            </w:r>
          </w:p>
        </w:tc>
      </w:tr>
      <w:tr w14:paraId="2965F3F8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9B9B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活动对象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FCA9C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厦门大学对“挑战杯”、科研实践与材料创新感兴趣的本科生</w:t>
            </w:r>
          </w:p>
        </w:tc>
      </w:tr>
      <w:tr w14:paraId="11DCB972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C643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活动时长</w:t>
            </w:r>
          </w:p>
        </w:tc>
        <w:tc>
          <w:tcPr>
            <w:tcW w:w="799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A491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约45分钟，含现场交流</w:t>
            </w:r>
          </w:p>
        </w:tc>
      </w:tr>
      <w:tr w14:paraId="5ECB32F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3D1A2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拟举办时间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380D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2026年11月；具体日期按活动审批与场地安排确定</w:t>
            </w:r>
          </w:p>
        </w:tc>
      </w:tr>
      <w:tr w14:paraId="25150AA0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D1AC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拟举办地点</w:t>
            </w:r>
          </w:p>
        </w:tc>
        <w:tc>
          <w:tcPr>
            <w:tcW w:w="799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4F31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厦门大学校内多媒体教室；以最终借用场地为准</w:t>
            </w:r>
          </w:p>
        </w:tc>
      </w:tr>
      <w:tr w14:paraId="524C928B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A88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8"/>
              </w:rPr>
              <w:t>活动形式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ADFA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主题讲解、项目图片与概念示意展示、现场问答</w:t>
            </w:r>
          </w:p>
        </w:tc>
      </w:tr>
    </w:tbl>
    <w:p w14:paraId="03CB0915">
      <w:pPr>
        <w:keepNext w:val="0"/>
        <w:widowControl/>
        <w:spacing w:before="0" w:after="20" w:line="40" w:lineRule="exact"/>
      </w:pPr>
    </w:p>
    <w:p w14:paraId="417ED72C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活动背景与目标</w:t>
      </w:r>
    </w:p>
    <w:p w14:paraId="17D66DF9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“挑战杯”项目介绍往往同时包含工程问题、技术路径、竞赛成果和团队信息。活动选取“御磁坚盾”，是因为学校官方报道确认其获得第十八届“挑战杯”主体赛特等奖，并公开了项目名称、三项创新方向、团队成员和指导教师名单。[1]这为开展有来源、有边界的案例讲解提供了基础。</w:t>
      </w:r>
    </w:p>
    <w:p w14:paraId="038B7D04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本次活动希望参与者在离场前能够：</w:t>
      </w:r>
    </w:p>
    <w:p w14:paraId="721A3FB6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说清项目要解决的主要问题，以及轻量化、屏蔽性能和结构力学性能之间的关系。</w:t>
      </w:r>
    </w:p>
    <w:p w14:paraId="76D6DF8A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识别项目公开介绍的三项技术方向，并理解它们分别回应的技术问题。</w:t>
      </w:r>
    </w:p>
    <w:p w14:paraId="6A815560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区分已确认的获奖与展示经历、媒体报道中的性能比较数据，以及尚未证实的规模化应用判断。</w:t>
      </w:r>
    </w:p>
    <w:p w14:paraId="28ACA8B8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获得一份便于继续了解“挑战杯”项目的信息来源与提问清单。</w:t>
      </w:r>
    </w:p>
    <w:p w14:paraId="09F4135B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介绍内容设计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3182"/>
        <w:gridCol w:w="3182"/>
      </w:tblGrid>
      <w:tr w14:paraId="33FD0D3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7AF4216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内容板块</w:t>
            </w:r>
          </w:p>
        </w:tc>
        <w:tc>
          <w:tcPr>
            <w:tcW w:w="5184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605D3EA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讲解重点</w:t>
            </w:r>
          </w:p>
        </w:tc>
        <w:tc>
          <w:tcPr>
            <w:tcW w:w="324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6802B37C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呈现方式</w:t>
            </w:r>
          </w:p>
        </w:tc>
      </w:tr>
      <w:tr w14:paraId="7D49B741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80299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项目缘起</w:t>
            </w:r>
          </w:p>
        </w:tc>
        <w:tc>
          <w:tcPr>
            <w:tcW w:w="5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A1030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电磁干扰与泄漏风险；装备轻量化需求；材料性能需要协同考虑。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67BE3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一页问题场景图和简短案例说明。</w:t>
            </w:r>
          </w:p>
        </w:tc>
      </w:tr>
      <w:tr w14:paraId="5F1CF56F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2ED25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团队与项目</w:t>
            </w:r>
          </w:p>
        </w:tc>
        <w:tc>
          <w:tcPr>
            <w:tcW w:w="51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E9B5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学校、学院、项目名称、主体赛获奖情况、成员与指导教师名单。</w:t>
            </w:r>
          </w:p>
        </w:tc>
        <w:tc>
          <w:tcPr>
            <w:tcW w:w="32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1A9A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项目基本信息页和团队照片。</w:t>
            </w:r>
          </w:p>
        </w:tc>
      </w:tr>
      <w:tr w14:paraId="0AB938FC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8920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技术路线</w:t>
            </w:r>
          </w:p>
        </w:tc>
        <w:tc>
          <w:tcPr>
            <w:tcW w:w="5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AA5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多维平行界面损耗；镁锂合金强塑性协同提升；纳米碳基/镁锂合金固态复合。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9C58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三行技术路线图；配一张明确标注为概念示意的界面图。</w:t>
            </w:r>
          </w:p>
        </w:tc>
      </w:tr>
      <w:tr w14:paraId="6716CE9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FBE66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项目进展</w:t>
            </w:r>
          </w:p>
        </w:tc>
        <w:tc>
          <w:tcPr>
            <w:tcW w:w="51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572B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特等奖、闭幕式项目介绍、2023年专项路演展示；说明潜在应用方向。</w:t>
            </w:r>
          </w:p>
        </w:tc>
        <w:tc>
          <w:tcPr>
            <w:tcW w:w="32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DAFC6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时间线和来源标注。</w:t>
            </w:r>
          </w:p>
        </w:tc>
      </w:tr>
      <w:tr w14:paraId="4DE40406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7CCD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团队学习</w:t>
            </w:r>
          </w:p>
        </w:tc>
        <w:tc>
          <w:tcPr>
            <w:tcW w:w="51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18EC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需求识别、技术叙事、证据核验、团队协作如何支撑项目表达。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D079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主持人引导讨论与现场提问。</w:t>
            </w:r>
          </w:p>
        </w:tc>
      </w:tr>
    </w:tbl>
    <w:p w14:paraId="4477B185">
      <w:pPr>
        <w:keepNext w:val="0"/>
        <w:widowControl/>
        <w:spacing w:before="0" w:after="20" w:line="40" w:lineRule="exact"/>
      </w:pPr>
    </w:p>
    <w:p w14:paraId="2776B079">
      <w:pPr>
        <w:keepNext/>
        <w:widowControl/>
        <w:spacing w:before="40" w:after="40" w:line="240" w:lineRule="auto"/>
        <w:jc w:val="center"/>
      </w:pPr>
      <w:r>
        <w:drawing>
          <wp:inline distT="0" distB="0" distL="114300" distR="114300">
            <wp:extent cx="4937760" cy="23177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235B">
      <w:pPr>
        <w:keepNext/>
        <w:widowControl/>
        <w:spacing w:before="0" w:after="20" w:line="252" w:lineRule="auto"/>
        <w:jc w:val="center"/>
      </w:pPr>
      <w:r>
        <w:rPr>
          <w:rFonts w:ascii="微软雅黑" w:hAnsi="微软雅黑" w:eastAsia="微软雅黑"/>
          <w:b w:val="0"/>
          <w:i w:val="0"/>
          <w:color w:val="66788A"/>
          <w:sz w:val="17"/>
        </w:rPr>
        <w:t>图1 实验室中的项目研究画面</w:t>
      </w:r>
    </w:p>
    <w:p w14:paraId="19E73A4C">
      <w:pPr>
        <w:keepNext w:val="0"/>
        <w:widowControl/>
        <w:spacing w:before="0" w:after="100" w:line="240" w:lineRule="auto"/>
        <w:jc w:val="center"/>
      </w:pPr>
      <w:r>
        <w:rPr>
          <w:rFonts w:ascii="微软雅黑" w:hAnsi="微软雅黑" w:eastAsia="微软雅黑"/>
          <w:b w:val="0"/>
          <w:i w:val="0"/>
          <w:color w:val="66788A"/>
          <w:sz w:val="15"/>
        </w:rPr>
        <w:t>图片来源：龙视新闻联播报道，经澎湃新闻转载，2024年4月24日</w:t>
      </w:r>
    </w:p>
    <w:p w14:paraId="4BE5CD31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技术内容坚持“先问题、再方法、后证据”的顺序。讲解界面损耗时使用概念图，说明图示不代表真实微观结构；讲解性能对比时说明媒体报道没有提供完整测试条件，不把报道数字作为普遍适用结论。</w:t>
      </w:r>
    </w:p>
    <w:p w14:paraId="33E676E3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活动流程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3182"/>
        <w:gridCol w:w="3182"/>
      </w:tblGrid>
      <w:tr w14:paraId="51810B7B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459A06BE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w="1584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52E62F22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环节</w:t>
            </w:r>
          </w:p>
        </w:tc>
        <w:tc>
          <w:tcPr>
            <w:tcW w:w="7056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77F86FB0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内容与执行</w:t>
            </w:r>
          </w:p>
        </w:tc>
      </w:tr>
      <w:tr w14:paraId="0997C5F2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0DBB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18:20—18:50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09A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场地准备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C131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工作人员签到；检查投影、话筒、座位与导视；打开PPT及PDF备份；完成图片来源与播放测试。</w:t>
            </w:r>
          </w:p>
        </w:tc>
      </w:tr>
      <w:tr w14:paraId="2B0D726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94CE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18:50—19:00</w:t>
            </w:r>
          </w:p>
        </w:tc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AD03C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观众入场</w:t>
            </w:r>
          </w:p>
        </w:tc>
        <w:tc>
          <w:tcPr>
            <w:tcW w:w="70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B125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引导签到、入座；发放一页项目资料或展示二维码；循环展示活动主题页。</w:t>
            </w:r>
          </w:p>
        </w:tc>
      </w:tr>
      <w:tr w14:paraId="3A1F67F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298C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19:00—19:03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4DB9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开场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E6C20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主持人说明活动目的、介绍对象和提问方式。</w:t>
            </w:r>
          </w:p>
        </w:tc>
      </w:tr>
      <w:tr w14:paraId="33E64677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3589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19:03—19:08</w:t>
            </w:r>
          </w:p>
        </w:tc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D9E8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项目缘起</w:t>
            </w:r>
          </w:p>
        </w:tc>
        <w:tc>
          <w:tcPr>
            <w:tcW w:w="70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E6F3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说明电磁屏蔽与轻量化需求，提出项目面对的协同问题。</w:t>
            </w:r>
          </w:p>
        </w:tc>
      </w:tr>
      <w:tr w14:paraId="3F53A828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D1BE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19:08—19:15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BE15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团队与项目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E587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介绍项目基本信息、团队名单、指导教师及赛事成绩。</w:t>
            </w:r>
          </w:p>
        </w:tc>
      </w:tr>
      <w:tr w14:paraId="5ECE6B93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560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19:15—19:27</w:t>
            </w:r>
          </w:p>
        </w:tc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6DE12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技术路线</w:t>
            </w:r>
          </w:p>
        </w:tc>
        <w:tc>
          <w:tcPr>
            <w:tcW w:w="70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830D9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按三项创新讲解问题与方法，使用概念示意图和来源标注。</w:t>
            </w:r>
          </w:p>
        </w:tc>
      </w:tr>
      <w:tr w14:paraId="55233A7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0236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19:27—19:34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B57CC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成果与进展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6693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介绍特等奖、闭幕式展示和路演情况；区分潜在应用与产业化状态。</w:t>
            </w:r>
          </w:p>
        </w:tc>
      </w:tr>
      <w:tr w14:paraId="536D319A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0E64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19:34—19:42</w:t>
            </w:r>
          </w:p>
        </w:tc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BDBE1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现场交流</w:t>
            </w:r>
          </w:p>
        </w:tc>
        <w:tc>
          <w:tcPr>
            <w:tcW w:w="705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7713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回答项目技术、竞赛准备和资料核验相关问题；未知信息记录后查证。</w:t>
            </w:r>
          </w:p>
        </w:tc>
      </w:tr>
      <w:tr w14:paraId="443AA9C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2BDD5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6"/>
              </w:rPr>
              <w:t>19:42—19:45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0EB4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总结离场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E1716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6"/>
              </w:rPr>
              <w:t>主持人总结，收集反馈；提醒观众通过公开来源继续了解项目。</w:t>
            </w:r>
          </w:p>
        </w:tc>
      </w:tr>
    </w:tbl>
    <w:p w14:paraId="2752F04E">
      <w:pPr>
        <w:keepNext w:val="0"/>
        <w:widowControl/>
        <w:spacing w:before="0" w:after="20" w:line="40" w:lineRule="exact"/>
      </w:pPr>
    </w:p>
    <w:p w14:paraId="6846C963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以上以19:00开场为流程测算，具体活动日期和时段可按场地审批整体平移；活动总时长控制在45分钟左右。</w:t>
      </w:r>
    </w:p>
    <w:p w14:paraId="5EBE1876"/>
    <w:p w14:paraId="7708BA4F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前期准备与现场物料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3182"/>
        <w:gridCol w:w="3182"/>
      </w:tblGrid>
      <w:tr w14:paraId="048BDDB3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ABE371C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时间节点</w:t>
            </w:r>
          </w:p>
        </w:tc>
        <w:tc>
          <w:tcPr>
            <w:tcW w:w="468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E5060E9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工作内容</w:t>
            </w:r>
          </w:p>
        </w:tc>
        <w:tc>
          <w:tcPr>
            <w:tcW w:w="3816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21C0F8FA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完成标准</w:t>
            </w:r>
          </w:p>
        </w:tc>
      </w:tr>
      <w:tr w14:paraId="2C347435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D475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活动前7天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75AA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确认主办部门、场地、活动日期和设备；核对宣传口径。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99EE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时间地点获批，宣传信息经负责老师或部门审核。</w:t>
            </w:r>
          </w:p>
        </w:tc>
      </w:tr>
      <w:tr w14:paraId="6D04CB5B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19870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活动前5天</w:t>
            </w:r>
          </w:p>
        </w:tc>
        <w:tc>
          <w:tcPr>
            <w:tcW w:w="468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1A72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定稿书面介绍和讲解提纲；制作PPT、概念图及宣传海报。</w:t>
            </w:r>
          </w:p>
        </w:tc>
        <w:tc>
          <w:tcPr>
            <w:tcW w:w="381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BA46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奖项、名单、项目名与来源链接一致；图片有图注。</w:t>
            </w:r>
          </w:p>
        </w:tc>
      </w:tr>
      <w:tr w14:paraId="1451D9D2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3666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活动前3天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3F6DD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发布活动预告并开放报名；整理听众常见问题。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9B0B8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报名方式和活动信息准确，未使用未授权或来源不明的项目数据。</w:t>
            </w:r>
          </w:p>
        </w:tc>
      </w:tr>
      <w:tr w14:paraId="4D08FE68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898F3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活动前1天</w:t>
            </w:r>
          </w:p>
        </w:tc>
        <w:tc>
          <w:tcPr>
            <w:tcW w:w="468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CF3A9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全流程演练；计时；准备PDF、字体和图片备份。</w:t>
            </w:r>
          </w:p>
        </w:tc>
        <w:tc>
          <w:tcPr>
            <w:tcW w:w="3816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7FD0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讲解控制在约30分钟，问答和缓冲合计约15分钟。</w:t>
            </w:r>
          </w:p>
        </w:tc>
      </w:tr>
      <w:tr w14:paraId="3E8F6EC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68783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活动结束后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3721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整理签到、反馈和照片；归还设备；形成简要复盘。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45259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材料归档，记录问题、改进事项与后续查证结果。</w:t>
            </w:r>
          </w:p>
        </w:tc>
      </w:tr>
    </w:tbl>
    <w:p w14:paraId="78674ABA">
      <w:pPr>
        <w:keepNext w:val="0"/>
        <w:widowControl/>
        <w:spacing w:before="0" w:after="20" w:line="40" w:lineRule="exact"/>
      </w:pPr>
    </w:p>
    <w:p w14:paraId="1AB62875">
      <w:pPr>
        <w:pStyle w:val="4"/>
        <w:keepNext/>
        <w:widowControl/>
        <w:spacing w:before="12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25"/>
        </w:rPr>
        <w:t>物料清单</w:t>
      </w:r>
    </w:p>
    <w:p w14:paraId="30EBDDED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展示设备：投影仪、幕布、电脑、话筒、转接头和电源排插。</w:t>
      </w:r>
    </w:p>
    <w:p w14:paraId="06536D99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展示文件：PPTX与PDF两种格式；字体、图片本地备份；离线版资料和演讲提示卡。</w:t>
      </w:r>
    </w:p>
    <w:p w14:paraId="44005F0A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纸质材料：项目介绍简页、活动流程、来源清单、签到表与反馈表。</w:t>
      </w:r>
    </w:p>
    <w:p w14:paraId="6C4BDC1E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现场用品：指示牌、签到笔、桌牌及必要的胶带；尽量借用校内已有物资。</w:t>
      </w:r>
    </w:p>
    <w:p w14:paraId="0BC30328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小组工作分工</w:t>
      </w:r>
    </w:p>
    <w:p w14:paraId="71D1135D">
      <w:pPr>
        <w:keepNext w:val="0"/>
        <w:widowControl/>
        <w:spacing w:before="0" w:after="20" w:line="40" w:lineRule="exact"/>
      </w:pPr>
    </w:p>
    <w:p w14:paraId="483EB827">
      <w:pPr>
        <w:keepNext w:val="0"/>
        <w:widowControl/>
        <w:spacing w:before="0" w:after="20" w:line="40" w:lineRule="exact"/>
      </w:pPr>
    </w:p>
    <w:p w14:paraId="044FDFAB">
      <w:pPr>
        <w:keepNext w:val="0"/>
        <w:widowControl/>
        <w:spacing w:before="0" w:after="20" w:line="40" w:lineRule="exact"/>
      </w:pPr>
    </w:p>
    <w:p w14:paraId="16DA6F6D">
      <w:pPr>
        <w:keepNext w:val="0"/>
        <w:widowControl/>
        <w:spacing w:before="0" w:after="20" w:line="40" w:lineRule="exact"/>
      </w:pPr>
    </w:p>
    <w:p w14:paraId="054F39EC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经费测算</w:t>
      </w:r>
    </w:p>
    <w:p w14:paraId="4DADEAF3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预算按校内场地及投影设备可借用、无餐饮和礼品支出测算。预计支出控制在150元以内，实际金额以部门审批和打印报价为准。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2"/>
        <w:gridCol w:w="3182"/>
        <w:gridCol w:w="3182"/>
      </w:tblGrid>
      <w:tr w14:paraId="5E2DA18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B617A3C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576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CDD938D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数量与用途</w:t>
            </w:r>
          </w:p>
        </w:tc>
        <w:tc>
          <w:tcPr>
            <w:tcW w:w="2088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4EDAA7B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估算金额</w:t>
            </w:r>
          </w:p>
        </w:tc>
      </w:tr>
      <w:tr w14:paraId="5A72EBFA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7122D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A3宣传海报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651D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2张，用于入口或活动现场展示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1EBB5">
            <w:pPr>
              <w:keepNext w:val="0"/>
              <w:widowControl/>
              <w:spacing w:before="0" w:after="0" w:line="278" w:lineRule="auto"/>
            </w:pP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0—</w:t>
            </w: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0元</w:t>
            </w:r>
          </w:p>
        </w:tc>
      </w:tr>
      <w:tr w14:paraId="3877AC9B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64A2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项目简页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0D8C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约30份，双面黑白或少量彩印</w:t>
            </w:r>
          </w:p>
        </w:tc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5AA02">
            <w:pPr>
              <w:keepNext w:val="0"/>
              <w:widowControl/>
              <w:spacing w:before="0" w:after="0" w:line="278" w:lineRule="auto"/>
            </w:pP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0—</w:t>
            </w: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0元</w:t>
            </w:r>
          </w:p>
        </w:tc>
      </w:tr>
      <w:tr w14:paraId="6B2F9D4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9D0B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签到与反馈用品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36275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纸张、笔等消耗品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92722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10—20元</w:t>
            </w:r>
          </w:p>
        </w:tc>
      </w:tr>
      <w:tr w14:paraId="24BE75AA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05D2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现场备用物品</w:t>
            </w:r>
          </w:p>
        </w:tc>
        <w:tc>
          <w:tcPr>
            <w:tcW w:w="57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EABF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转接头、胶带等按需补充；优先借用</w:t>
            </w:r>
          </w:p>
        </w:tc>
        <w:tc>
          <w:tcPr>
            <w:tcW w:w="2088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7FD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0—30元</w:t>
            </w:r>
          </w:p>
        </w:tc>
      </w:tr>
      <w:tr w14:paraId="19C6A85A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61DE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合计</w:t>
            </w:r>
          </w:p>
        </w:tc>
        <w:tc>
          <w:tcPr>
            <w:tcW w:w="5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14C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场地、投影、音响按校内借用，不计租赁费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14A69">
            <w:pPr>
              <w:keepNext w:val="0"/>
              <w:widowControl/>
              <w:spacing w:before="0" w:after="0" w:line="278" w:lineRule="auto"/>
            </w:pP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0—1</w:t>
            </w:r>
            <w:r>
              <w:rPr>
                <w:rFonts w:hint="eastAsia"/>
                <w:b w:val="0"/>
                <w:i w:val="0"/>
                <w:color w:val="20262E"/>
                <w:sz w:val="17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0元，最高不超过150元</w:t>
            </w:r>
          </w:p>
        </w:tc>
      </w:tr>
    </w:tbl>
    <w:p w14:paraId="1BEF4924">
      <w:pPr>
        <w:keepNext w:val="0"/>
        <w:widowControl/>
        <w:spacing w:before="0" w:after="20" w:line="40" w:lineRule="exact"/>
      </w:pPr>
    </w:p>
    <w:p w14:paraId="0458E880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风险预案与活动评估</w:t>
      </w:r>
    </w:p>
    <w:tbl>
      <w:tblPr>
        <w:tblStyle w:val="32"/>
        <w:tblW w:w="0" w:type="auto"/>
        <w:jc w:val="center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3"/>
        <w:gridCol w:w="4773"/>
      </w:tblGrid>
      <w:tr w14:paraId="29CD2F00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3E60F51C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情况</w:t>
            </w:r>
          </w:p>
        </w:tc>
        <w:tc>
          <w:tcPr>
            <w:tcW w:w="7560" w:type="dxa"/>
            <w:shd w:val="clear" w:color="auto" w:fill="1F3A5B"/>
            <w:tcMar>
              <w:top w:w="105" w:type="dxa"/>
              <w:left w:w="110" w:type="dxa"/>
              <w:bottom w:w="105" w:type="dxa"/>
              <w:right w:w="110" w:type="dxa"/>
            </w:tcMar>
            <w:vAlign w:val="center"/>
          </w:tcPr>
          <w:p w14:paraId="19271DAE">
            <w:pPr>
              <w:keepNext w:val="0"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处理方式</w:t>
            </w:r>
          </w:p>
        </w:tc>
      </w:tr>
      <w:tr w14:paraId="1BD1809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68FD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报名或到场人数较少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FAF10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活动前通过课程群、社团群再提醒一次；现场采用围坐形式，保留交流氛围，不临时夸大报名人数。</w:t>
            </w:r>
          </w:p>
        </w:tc>
      </w:tr>
      <w:tr w14:paraId="6D9BDEB1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0BFFA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投影或电脑故障</w:t>
            </w:r>
          </w:p>
        </w:tc>
        <w:tc>
          <w:tcPr>
            <w:tcW w:w="75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22E39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提前测试；准备PPTX、PDF两版和离线备份；必要时按纸质讲义继续讲解。</w:t>
            </w:r>
          </w:p>
        </w:tc>
      </w:tr>
      <w:tr w14:paraId="22D621D3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C834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现场超时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D00CF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主持人使用计时提示；优先保留项目问题、三项技术路线、获奖事实和问答，压缩背景铺陈。</w:t>
            </w:r>
          </w:p>
        </w:tc>
      </w:tr>
      <w:tr w14:paraId="749F7CF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BA20C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无人提问</w:t>
            </w:r>
          </w:p>
        </w:tc>
        <w:tc>
          <w:tcPr>
            <w:tcW w:w="75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7429E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主持人准备两道引导题，例如“项目三项创新分别回应什么问题”“哪些成果信息还需要进一步核验”。</w:t>
            </w:r>
          </w:p>
        </w:tc>
      </w:tr>
      <w:tr w14:paraId="51C51A6E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CB33D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遇到资料未披露的问题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23D7B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说明公开资料没有逐项披露，不猜测个人分工或商业化状态；记录问题，会后查证并补充来源。</w:t>
            </w:r>
          </w:p>
        </w:tc>
      </w:tr>
      <w:tr w14:paraId="6B9A128C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07624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/>
                <w:i w:val="0"/>
                <w:color w:val="1F3A5B"/>
                <w:sz w:val="17"/>
              </w:rPr>
              <w:t>照片或图示来源不清</w:t>
            </w:r>
          </w:p>
        </w:tc>
        <w:tc>
          <w:tcPr>
            <w:tcW w:w="75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C46F7">
            <w:pPr>
              <w:keepNext w:val="0"/>
              <w:widowControl/>
              <w:spacing w:before="0" w:after="0" w:line="278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7"/>
              </w:rPr>
              <w:t>不使用该素材，改用本组绘制的概念图；保留图片来源说明。</w:t>
            </w:r>
          </w:p>
        </w:tc>
      </w:tr>
    </w:tbl>
    <w:p w14:paraId="3FE0E4C2">
      <w:pPr>
        <w:keepNext w:val="0"/>
        <w:widowControl/>
        <w:spacing w:before="0" w:after="20" w:line="40" w:lineRule="exact"/>
      </w:pPr>
    </w:p>
    <w:p w14:paraId="70C20DD6">
      <w:pPr>
        <w:keepNext w:val="0"/>
        <w:widowControl/>
        <w:spacing w:before="0" w:after="120" w:line="31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活动结束后回收签到和反馈表，统计到场人数、问题类型和反馈意见；小组在一周内整理活动简报，标记需要继续核实的事实，并形成下一次科创团队介绍活动的改进清单。</w:t>
      </w:r>
    </w:p>
    <w:p w14:paraId="3E411725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资料核验原则</w:t>
      </w:r>
    </w:p>
    <w:p w14:paraId="446B2970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项目名称、奖项、8名成员和3名指导教师，以哈尔滨工程大学新闻网获奖报道为准。[1]</w:t>
      </w:r>
    </w:p>
    <w:p w14:paraId="54AA01D1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专项路演经历与应用前景，以学校报道为依据；使用“展示”“交流”“有望应用”等准确表述。[1][2]</w:t>
      </w:r>
    </w:p>
    <w:p w14:paraId="118FA057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媒体报道中的15%—25%屏蔽效能提升和20%减重数据，缺少完整测试条件和对照口径，不列入活动结论或宣传标题。[3]</w:t>
      </w:r>
    </w:p>
    <w:p w14:paraId="4532A9EE">
      <w:pPr>
        <w:pStyle w:val="16"/>
        <w:keepNext w:val="0"/>
        <w:widowControl/>
        <w:spacing w:before="0" w:after="60" w:line="298" w:lineRule="auto"/>
        <w:ind w:left="346" w:hanging="202"/>
      </w:pPr>
      <w:r>
        <w:rPr>
          <w:rFonts w:ascii="微软雅黑" w:hAnsi="微软雅黑" w:eastAsia="微软雅黑"/>
          <w:b w:val="0"/>
          <w:i w:val="0"/>
          <w:color w:val="20262E"/>
          <w:sz w:val="20"/>
        </w:rPr>
        <w:t>不将团队成员专业、年级、个人分工或论文专利数量从技术参与线索中推断出来；需要补充时先查正式材料。</w:t>
      </w:r>
    </w:p>
    <w:p w14:paraId="49C83DA3">
      <w:pPr>
        <w:rPr>
          <w:rFonts w:ascii="微软雅黑" w:hAnsi="微软雅黑" w:eastAsia="微软雅黑"/>
          <w:b/>
          <w:i w:val="0"/>
          <w:color w:val="20262E"/>
          <w:sz w:val="32"/>
        </w:rPr>
      </w:pPr>
      <w:bookmarkStart w:id="0" w:name="_GoBack"/>
      <w:bookmarkEnd w:id="0"/>
    </w:p>
    <w:p w14:paraId="5219E0EC">
      <w:pPr>
        <w:pStyle w:val="3"/>
        <w:keepNext/>
        <w:widowControl/>
        <w:spacing w:before="200" w:after="100" w:line="269" w:lineRule="auto"/>
      </w:pPr>
      <w:r>
        <w:rPr>
          <w:rFonts w:ascii="微软雅黑" w:hAnsi="微软雅黑" w:eastAsia="微软雅黑"/>
          <w:b/>
          <w:i w:val="0"/>
          <w:color w:val="20262E"/>
          <w:sz w:val="32"/>
        </w:rPr>
        <w:t>参考资料</w:t>
      </w:r>
    </w:p>
    <w:p w14:paraId="14A5F88D">
      <w:pPr>
        <w:keepNext w:val="0"/>
        <w:widowControl/>
        <w:spacing w:before="0" w:after="80" w:line="269" w:lineRule="auto"/>
      </w:pPr>
      <w:r>
        <w:rPr>
          <w:rFonts w:ascii="微软雅黑" w:hAnsi="微软雅黑" w:eastAsia="微软雅黑"/>
          <w:b w:val="0"/>
          <w:i w:val="0"/>
          <w:color w:val="20262E"/>
          <w:sz w:val="17"/>
        </w:rPr>
        <w:t xml:space="preserve">[1] 哈尔滨工程大学新闻网：《学校取得全国“挑战杯”赛事历史性突破 勇夺3项特等奖》，2023年11月1日。 </w:t>
      </w:r>
      <w:r>
        <w:rPr>
          <w:rFonts w:ascii="微软雅黑" w:hAnsi="微软雅黑" w:eastAsia="微软雅黑"/>
          <w:b w:val="0"/>
          <w:i w:val="0"/>
          <w:color w:val="1F3A5B"/>
          <w:sz w:val="16"/>
        </w:rPr>
        <w:t>https://news.hrbeu.edu.cn/info/3595/78717.htm</w:t>
      </w:r>
    </w:p>
    <w:p w14:paraId="45D138F7">
      <w:pPr>
        <w:keepNext w:val="0"/>
        <w:widowControl/>
        <w:spacing w:before="0" w:after="80" w:line="269" w:lineRule="auto"/>
      </w:pPr>
      <w:r>
        <w:rPr>
          <w:rFonts w:ascii="微软雅黑" w:hAnsi="微软雅黑" w:eastAsia="微软雅黑"/>
          <w:b w:val="0"/>
          <w:i w:val="0"/>
          <w:color w:val="20262E"/>
          <w:sz w:val="17"/>
        </w:rPr>
        <w:t xml:space="preserve">[2] 哈尔滨工程大学新闻网：《克克计较！他用镁锂合金让装备轻装上阵》，2025年4月15日。 </w:t>
      </w:r>
      <w:r>
        <w:rPr>
          <w:rFonts w:ascii="微软雅黑" w:hAnsi="微软雅黑" w:eastAsia="微软雅黑"/>
          <w:b w:val="0"/>
          <w:i w:val="0"/>
          <w:color w:val="1F3A5B"/>
          <w:sz w:val="16"/>
        </w:rPr>
        <w:t>https://news.hrbeu.edu.cn/info/1038/85444.htm</w:t>
      </w:r>
    </w:p>
    <w:p w14:paraId="0DA622EA">
      <w:pPr>
        <w:keepNext w:val="0"/>
        <w:widowControl/>
        <w:spacing w:before="0" w:after="80" w:line="269" w:lineRule="auto"/>
      </w:pPr>
      <w:r>
        <w:rPr>
          <w:rFonts w:ascii="微软雅黑" w:hAnsi="微软雅黑" w:eastAsia="微软雅黑"/>
          <w:b w:val="0"/>
          <w:i w:val="0"/>
          <w:color w:val="20262E"/>
          <w:sz w:val="17"/>
        </w:rPr>
        <w:t xml:space="preserve">[3] 澎湃新闻转载龙视新闻联播：《聚焦新质生产力丨哈工程团队为尖端设备套上“金钟罩”》，2024年4月24日。 </w:t>
      </w:r>
      <w:r>
        <w:rPr>
          <w:rFonts w:ascii="微软雅黑" w:hAnsi="微软雅黑" w:eastAsia="微软雅黑"/>
          <w:b w:val="0"/>
          <w:i w:val="0"/>
          <w:color w:val="1F3A5B"/>
          <w:sz w:val="16"/>
        </w:rPr>
        <w:t>https://www.thepaper.cn/newsDetail_forward_27146034</w:t>
      </w:r>
    </w:p>
    <w:p w14:paraId="273E3C27">
      <w:pPr>
        <w:keepNext w:val="0"/>
        <w:widowControl/>
        <w:spacing w:before="0" w:after="80" w:line="269" w:lineRule="auto"/>
      </w:pPr>
      <w:r>
        <w:rPr>
          <w:rFonts w:ascii="微软雅黑" w:hAnsi="微软雅黑" w:eastAsia="微软雅黑"/>
          <w:b w:val="0"/>
          <w:i w:val="0"/>
          <w:color w:val="20262E"/>
          <w:sz w:val="17"/>
        </w:rPr>
        <w:t xml:space="preserve">[4] 哈尔滨工程大学材料科学与化学工程学院：《郭政佑：树牢科技报国志，刻苦学习攀高峰》，2024年3月4日。 </w:t>
      </w:r>
      <w:r>
        <w:rPr>
          <w:rFonts w:ascii="微软雅黑" w:hAnsi="微软雅黑" w:eastAsia="微软雅黑"/>
          <w:b w:val="0"/>
          <w:i w:val="0"/>
          <w:color w:val="1F3A5B"/>
          <w:sz w:val="16"/>
        </w:rPr>
        <w:t>https://heucec.hrbeu.edu.cn/2024/0304/c6348a322222/page.htm</w:t>
      </w:r>
    </w:p>
    <w:p w14:paraId="186B0592">
      <w:pPr>
        <w:keepNext w:val="0"/>
        <w:widowControl/>
        <w:spacing w:before="0" w:after="40" w:line="317" w:lineRule="auto"/>
      </w:pPr>
    </w:p>
    <w:sectPr>
      <w:headerReference r:id="rId5" w:type="default"/>
      <w:footerReference r:id="rId6" w:type="default"/>
      <w:pgSz w:w="11909" w:h="16834"/>
      <w:pgMar w:top="1037" w:right="1181" w:bottom="1008" w:left="1181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E52C5">
    <w:pPr>
      <w:pStyle w:val="24"/>
      <w:keepNext w:val="0"/>
      <w:widowControl/>
      <w:spacing w:before="0" w:after="0" w:line="240" w:lineRule="auto"/>
      <w:jc w:val="center"/>
    </w:pPr>
    <w:r>
      <w:rPr>
        <w:rFonts w:ascii="微软雅黑" w:hAnsi="微软雅黑" w:eastAsia="微软雅黑"/>
        <w:b w:val="0"/>
        <w:i w:val="0"/>
        <w:color w:val="66788A"/>
        <w:sz w:val="16"/>
      </w:rPr>
      <w:t xml:space="preserve">厦门大学科创项目介绍材料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i w:val="0"/>
        <w:color w:val="6678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FF737">
    <w:pPr>
      <w:pStyle w:val="25"/>
      <w:keepNext w:val="0"/>
      <w:widowControl/>
      <w:spacing w:before="0" w:after="0" w:line="240" w:lineRule="auto"/>
      <w:jc w:val="right"/>
    </w:pPr>
    <w:r>
      <w:rPr>
        <w:rFonts w:ascii="微软雅黑" w:hAnsi="微软雅黑" w:eastAsia="微软雅黑"/>
        <w:b w:val="0"/>
        <w:i w:val="0"/>
        <w:color w:val="66788A"/>
        <w:sz w:val="16"/>
      </w:rPr>
      <w:t>往届大挑优秀团队介绍活动策划书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B7538"/>
    <w:rsid w:val="18E65685"/>
    <w:rsid w:val="38042FDA"/>
    <w:rsid w:val="58535244"/>
    <w:rsid w:val="58FE1C2C"/>
    <w:rsid w:val="7D3D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7" w:lineRule="auto"/>
    </w:pPr>
    <w:rPr>
      <w:rFonts w:ascii="微软雅黑" w:hAnsi="微软雅黑" w:eastAsia="微软雅黑" w:cstheme="minorBidi"/>
      <w:color w:val="2026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220" w:after="100"/>
      <w:outlineLvl w:val="0"/>
    </w:pPr>
    <w:rPr>
      <w:rFonts w:asciiTheme="majorHAnsi" w:hAnsiTheme="majorHAnsi" w:eastAsiaTheme="majorEastAsia" w:cstheme="majorBidi"/>
      <w:b/>
      <w:bCs/>
      <w:color w:val="20262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0262E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20" w:after="100"/>
      <w:outlineLvl w:val="2"/>
    </w:pPr>
    <w:rPr>
      <w:rFonts w:asciiTheme="majorHAnsi" w:hAnsiTheme="majorHAnsi" w:eastAsiaTheme="majorEastAsia" w:cstheme="majorBidi"/>
      <w:b/>
      <w:bCs/>
      <w:color w:val="20262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20262E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1218</Words>
  <Characters>1264</Characters>
  <Lines>0</Lines>
  <Paragraphs>0</Paragraphs>
  <TotalTime>11</TotalTime>
  <ScaleCrop>false</ScaleCrop>
  <LinksUpToDate>false</LinksUpToDate>
  <CharactersWithSpaces>1273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厦门大学科创项目介绍小组</dc:creator>
  <dc:description>generated by python-docx</dc:description>
  <cp:lastModifiedBy>ξ</cp:lastModifiedBy>
  <dcterms:modified xsi:type="dcterms:W3CDTF">2026-10-12T06:41:26Z</dcterms:modified>
  <dc:subject>哈尔滨工程大学御磁坚盾团队介绍活动</dc:subject>
  <dc:title>往届大挑优秀团队介绍活动策划书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eyJoZGlkIjoiOGEwOGVmNWE2YTRkMTgxNjBhNzA2NTgwY2M3YzM2YjAiLCJ1c2VySWQiOiI5MjE4NDQxNTQifQ==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842648DDC70145188E769427F62CA44B_12</vt:lpwstr>
  </property>
</Properties>
</file>