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b/>
          <w:bCs/>
          <w:sz w:val="24"/>
          <w:szCs w:val="24"/>
        </w:rPr>
        <w:id w:val="-1642347298"/>
        <w:docPartObj>
          <w:docPartGallery w:val="Cover Pages"/>
          <w:docPartUnique/>
        </w:docPartObj>
      </w:sdtPr>
      <w:sdtContent>
        <w:p w:rsidR="002D6344" w:rsidRDefault="002D6344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2D6344">
            <w:rPr>
              <w:rFonts w:ascii="Arial" w:hAnsi="Arial" w:cs="Arial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658"/>
                                  <w:gridCol w:w="3534"/>
                                </w:tblGrid>
                                <w:tr w:rsidR="002D634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2D6344" w:rsidRDefault="002D634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pt-BR"/>
                                        </w:rPr>
                                        <w:drawing>
                                          <wp:inline distT="0" distB="0" distL="0" distR="0" wp14:anchorId="4FB37BB7" wp14:editId="339DFACA">
                                            <wp:extent cx="4405745" cy="4555415"/>
                                            <wp:effectExtent l="0" t="0" r="0" b="0"/>
                                            <wp:docPr id="1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ataque-cibernetico-ciberataque-invasao-sistema-1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425465" cy="45758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2D6344" w:rsidRDefault="002D6344">
                                      <w:pPr>
                                        <w:jc w:val="right"/>
                                        <w:rPr>
                                          <w:rFonts w:eastAsiaTheme="minorEastAsi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eastAsia="pt-B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72"/>
                                            <w:szCs w:val="72"/>
                                          </w:rPr>
                                          <w:alias w:val="Título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>
                                          <w:rPr>
                                            <w:rFonts w:eastAsiaTheme="minorEastAsia"/>
                                            <w:lang w:eastAsia="pt-BR"/>
                                          </w:rPr>
                                        </w:sdtEndPr>
                                        <w:sdtContent/>
                                      </w:sdt>
                                      <w:r w:rsidRPr="002D6344">
                                        <w:rPr>
                                          <w:rFonts w:eastAsiaTheme="minorEastAsi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eastAsia="pt-BR"/>
                                        </w:rPr>
                                        <w:t>ataques cibernéticos</w:t>
                                      </w:r>
                                    </w:p>
                                    <w:p w:rsidR="002D6344" w:rsidRDefault="002D6344" w:rsidP="002D6344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alias w:val="Subtítulo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PESQUISA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2D6344" w:rsidRDefault="002D6344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Resumo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esumo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2D6344" w:rsidRDefault="002D634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arquivo contém dois exemplos de ataques cibernéticos que ocorreram no decorrer dos últimos cinco anos.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2D6344" w:rsidRDefault="002D6344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Lauanda Jones</w:t>
                                          </w:r>
                                        </w:p>
                                      </w:sdtContent>
                                    </w:sdt>
                                    <w:p w:rsidR="002D6344" w:rsidRDefault="002D6344" w:rsidP="002D6344">
                                      <w:pPr>
                                        <w:pStyle w:val="SemEspaament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2D6344">
                                            <w:rPr>
                                              <w:color w:val="44546A" w:themeColor="text2"/>
                                            </w:rPr>
                                            <w:t xml:space="preserve">Sistemas Computacionais e Segurança – </w:t>
                                          </w:r>
                                          <w:proofErr w:type="spellStart"/>
                                          <w:r w:rsidRPr="002D6344">
                                            <w:rPr>
                                              <w:color w:val="44546A" w:themeColor="text2"/>
                                            </w:rPr>
                                            <w:t>SCS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D6344" w:rsidRDefault="002D634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658"/>
                            <w:gridCol w:w="3534"/>
                          </w:tblGrid>
                          <w:tr w:rsidR="002D634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2D6344" w:rsidRDefault="002D634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pt-BR"/>
                                  </w:rPr>
                                  <w:drawing>
                                    <wp:inline distT="0" distB="0" distL="0" distR="0" wp14:anchorId="4FB37BB7" wp14:editId="339DFACA">
                                      <wp:extent cx="4405745" cy="4555415"/>
                                      <wp:effectExtent l="0" t="0" r="0" b="0"/>
                                      <wp:docPr id="1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ataque-cibernetico-ciberataque-invasao-sistema-1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425465" cy="45758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2D6344" w:rsidRDefault="002D6344">
                                <w:pPr>
                                  <w:jc w:val="right"/>
                                  <w:rPr>
                                    <w:rFonts w:eastAsiaTheme="minorEastAsi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eastAsia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eastAsiaTheme="minorEastAsia"/>
                                      <w:lang w:eastAsia="pt-BR"/>
                                    </w:rPr>
                                  </w:sdtEndPr>
                                  <w:sdtContent/>
                                </w:sdt>
                                <w:r w:rsidRPr="002D6344">
                                  <w:rPr>
                                    <w:rFonts w:eastAsiaTheme="minorEastAsi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eastAsia="pt-BR"/>
                                  </w:rPr>
                                  <w:t>ataques cibernéticos</w:t>
                                </w:r>
                              </w:p>
                              <w:p w:rsidR="002D6344" w:rsidRDefault="002D6344" w:rsidP="002D6344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PESQUISA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2D6344" w:rsidRDefault="002D6344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esumo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2D6344" w:rsidRDefault="002D634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arquivo contém dois exemplos de ataques cibernéticos que ocorreram no decorrer dos últimos cinco anos.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D6344" w:rsidRDefault="002D6344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Lauanda Jones</w:t>
                                    </w:r>
                                  </w:p>
                                </w:sdtContent>
                              </w:sdt>
                              <w:p w:rsidR="002D6344" w:rsidRDefault="002D6344" w:rsidP="002D6344">
                                <w:pPr>
                                  <w:pStyle w:val="SemEspaament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2D6344">
                                      <w:rPr>
                                        <w:color w:val="44546A" w:themeColor="text2"/>
                                      </w:rPr>
                                      <w:t xml:space="preserve">Sistemas Computacionais e Segurança – </w:t>
                                    </w:r>
                                    <w:proofErr w:type="spellStart"/>
                                    <w:r w:rsidRPr="002D6344">
                                      <w:rPr>
                                        <w:color w:val="44546A" w:themeColor="text2"/>
                                      </w:rPr>
                                      <w:t>SCS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2D6344" w:rsidRDefault="002D634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D6344" w:rsidRDefault="002D6344" w:rsidP="002D634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lastRenderedPageBreak/>
        <w:t xml:space="preserve">Ataque de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Ransomware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 xml:space="preserve"> à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JBS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Foods</w:t>
      </w:r>
      <w:proofErr w:type="spellEnd"/>
    </w:p>
    <w:p w:rsidR="002D6344" w:rsidRPr="002D6344" w:rsidRDefault="002D6344" w:rsidP="002D6344">
      <w:pPr>
        <w:rPr>
          <w:rFonts w:ascii="Arial" w:hAnsi="Arial" w:cs="Arial"/>
          <w:b/>
          <w:bCs/>
          <w:sz w:val="24"/>
          <w:szCs w:val="24"/>
        </w:rPr>
      </w:pPr>
    </w:p>
    <w:p w:rsidR="002D6344" w:rsidRPr="002D6344" w:rsidRDefault="002D6344" w:rsidP="002D634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Data aproximada:</w:t>
      </w:r>
      <w:r w:rsidRPr="002D634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D6344">
        <w:rPr>
          <w:rFonts w:ascii="Arial" w:hAnsi="Arial" w:cs="Arial"/>
          <w:sz w:val="24"/>
          <w:szCs w:val="24"/>
        </w:rPr>
        <w:t>Maio</w:t>
      </w:r>
      <w:proofErr w:type="gramEnd"/>
      <w:r w:rsidRPr="002D6344">
        <w:rPr>
          <w:rFonts w:ascii="Arial" w:hAnsi="Arial" w:cs="Arial"/>
          <w:sz w:val="24"/>
          <w:szCs w:val="24"/>
        </w:rPr>
        <w:t xml:space="preserve"> de 2021</w:t>
      </w:r>
    </w:p>
    <w:p w:rsidR="002D6344" w:rsidRPr="002D6344" w:rsidRDefault="002D6344" w:rsidP="002D634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Tipo de ataque:</w:t>
      </w:r>
      <w:r w:rsidRPr="002D63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6344">
        <w:rPr>
          <w:rFonts w:ascii="Arial" w:hAnsi="Arial" w:cs="Arial"/>
          <w:sz w:val="24"/>
          <w:szCs w:val="24"/>
        </w:rPr>
        <w:t>Ransomware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(sequestro de dados)</w:t>
      </w:r>
    </w:p>
    <w:p w:rsidR="002D6344" w:rsidRPr="002D6344" w:rsidRDefault="002D6344" w:rsidP="002D634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Descrição do ataque:</w:t>
      </w:r>
      <w:r w:rsidRPr="002D6344">
        <w:rPr>
          <w:rFonts w:ascii="Arial" w:hAnsi="Arial" w:cs="Arial"/>
          <w:sz w:val="24"/>
          <w:szCs w:val="24"/>
        </w:rPr>
        <w:t xml:space="preserve"> O grupo </w:t>
      </w:r>
      <w:proofErr w:type="spellStart"/>
      <w:r w:rsidRPr="002D6344">
        <w:rPr>
          <w:rFonts w:ascii="Arial" w:hAnsi="Arial" w:cs="Arial"/>
          <w:sz w:val="24"/>
          <w:szCs w:val="24"/>
        </w:rPr>
        <w:t>cibercriminoso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6344">
        <w:rPr>
          <w:rFonts w:ascii="Arial" w:hAnsi="Arial" w:cs="Arial"/>
          <w:sz w:val="24"/>
          <w:szCs w:val="24"/>
        </w:rPr>
        <w:t>REvil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invadiu a rede da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JBS</w:t>
      </w:r>
      <w:proofErr w:type="spellEnd"/>
      <w:r w:rsidRPr="002D6344">
        <w:rPr>
          <w:rFonts w:ascii="Arial" w:hAnsi="Arial" w:cs="Arial"/>
          <w:sz w:val="24"/>
          <w:szCs w:val="24"/>
        </w:rPr>
        <w:t>, uma das maiores empresas de processamento de carne do mundo. Eles criptografaram os dados da empresa e exigiram um resgate milionário para restaurar o acesso. O ataque forçou a interrupção das operações de produção em diversas fábricas nos Estados Unidos, Canadá e Austrália, afetando a cadeia de suprimentos de alimentos globalmente.</w:t>
      </w:r>
    </w:p>
    <w:p w:rsidR="002D6344" w:rsidRPr="002D6344" w:rsidRDefault="002D6344" w:rsidP="002D634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Vulnerabilidade explorada:</w:t>
      </w:r>
      <w:r w:rsidRPr="002D634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6344">
        <w:rPr>
          <w:rFonts w:ascii="Arial" w:hAnsi="Arial" w:cs="Arial"/>
          <w:sz w:val="24"/>
          <w:szCs w:val="24"/>
        </w:rPr>
        <w:t>JBS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nunca divulgou oficialmente a vulnerabilidade específica. No entanto, o FBI suspeita que o ataque tenha explorado uma vulnerabilidade em um sistema de controle de acesso (</w:t>
      </w:r>
      <w:proofErr w:type="spellStart"/>
      <w:r w:rsidRPr="002D6344">
        <w:rPr>
          <w:rFonts w:ascii="Arial" w:hAnsi="Arial" w:cs="Arial"/>
          <w:sz w:val="24"/>
          <w:szCs w:val="24"/>
        </w:rPr>
        <w:t>VPN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) ou em sistemas de gerenciamento de arquivos. Muitos ataques de </w:t>
      </w:r>
      <w:proofErr w:type="spellStart"/>
      <w:r w:rsidRPr="002D6344">
        <w:rPr>
          <w:rFonts w:ascii="Arial" w:hAnsi="Arial" w:cs="Arial"/>
          <w:sz w:val="24"/>
          <w:szCs w:val="24"/>
        </w:rPr>
        <w:t>ransomware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semelhantes, incluindo os do </w:t>
      </w:r>
      <w:proofErr w:type="spellStart"/>
      <w:r w:rsidRPr="002D6344">
        <w:rPr>
          <w:rFonts w:ascii="Arial" w:hAnsi="Arial" w:cs="Arial"/>
          <w:sz w:val="24"/>
          <w:szCs w:val="24"/>
        </w:rPr>
        <w:t>REvil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, exploraram vulnerabilidades conhecidas, como as relacionadas a sistemas de </w:t>
      </w:r>
      <w:proofErr w:type="spellStart"/>
      <w:r w:rsidRPr="002D6344">
        <w:rPr>
          <w:rFonts w:ascii="Arial" w:hAnsi="Arial" w:cs="Arial"/>
          <w:sz w:val="24"/>
          <w:szCs w:val="24"/>
        </w:rPr>
        <w:t>RDP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(Remote Desktop </w:t>
      </w:r>
      <w:proofErr w:type="spellStart"/>
      <w:r w:rsidRPr="002D6344">
        <w:rPr>
          <w:rFonts w:ascii="Arial" w:hAnsi="Arial" w:cs="Arial"/>
          <w:sz w:val="24"/>
          <w:szCs w:val="24"/>
        </w:rPr>
        <w:t>Protocol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) desprotegidos ou falhas de segurança em firewalls e outros dispositivos de borda. No caso de </w:t>
      </w:r>
      <w:proofErr w:type="spellStart"/>
      <w:r w:rsidRPr="002D6344">
        <w:rPr>
          <w:rFonts w:ascii="Arial" w:hAnsi="Arial" w:cs="Arial"/>
          <w:sz w:val="24"/>
          <w:szCs w:val="24"/>
        </w:rPr>
        <w:t>VPNs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, uma vulnerabilidade possível seria a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CVE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>-2021-21985</w:t>
      </w:r>
      <w:r w:rsidRPr="002D6344">
        <w:rPr>
          <w:rFonts w:ascii="Arial" w:hAnsi="Arial" w:cs="Arial"/>
          <w:sz w:val="24"/>
          <w:szCs w:val="24"/>
        </w:rPr>
        <w:t xml:space="preserve">, que afeta a </w:t>
      </w:r>
      <w:proofErr w:type="spellStart"/>
      <w:r w:rsidRPr="002D6344">
        <w:rPr>
          <w:rFonts w:ascii="Arial" w:hAnsi="Arial" w:cs="Arial"/>
          <w:sz w:val="24"/>
          <w:szCs w:val="24"/>
        </w:rPr>
        <w:t>VMware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6344">
        <w:rPr>
          <w:rFonts w:ascii="Arial" w:hAnsi="Arial" w:cs="Arial"/>
          <w:sz w:val="24"/>
          <w:szCs w:val="24"/>
        </w:rPr>
        <w:t>vCenter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Server e foi explorada por grupos de </w:t>
      </w:r>
      <w:proofErr w:type="spellStart"/>
      <w:r w:rsidRPr="002D6344">
        <w:rPr>
          <w:rFonts w:ascii="Arial" w:hAnsi="Arial" w:cs="Arial"/>
          <w:sz w:val="24"/>
          <w:szCs w:val="24"/>
        </w:rPr>
        <w:t>ransomware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na época.</w:t>
      </w:r>
    </w:p>
    <w:p w:rsidR="002D6344" w:rsidRPr="002D6344" w:rsidRDefault="002D6344" w:rsidP="002D634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Impactos e/ou prejuízo:</w:t>
      </w:r>
      <w:r w:rsidRPr="002D634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6344">
        <w:rPr>
          <w:rFonts w:ascii="Arial" w:hAnsi="Arial" w:cs="Arial"/>
          <w:sz w:val="24"/>
          <w:szCs w:val="24"/>
        </w:rPr>
        <w:t>JBS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pagou um resgate de </w:t>
      </w:r>
      <w:r w:rsidRPr="002D6344">
        <w:rPr>
          <w:rFonts w:ascii="Arial" w:hAnsi="Arial" w:cs="Arial"/>
          <w:b/>
          <w:bCs/>
          <w:sz w:val="24"/>
          <w:szCs w:val="24"/>
        </w:rPr>
        <w:t xml:space="preserve">US$ 11 milhões em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Bitcoin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para o grupo </w:t>
      </w:r>
      <w:proofErr w:type="spellStart"/>
      <w:r w:rsidRPr="002D6344">
        <w:rPr>
          <w:rFonts w:ascii="Arial" w:hAnsi="Arial" w:cs="Arial"/>
          <w:sz w:val="24"/>
          <w:szCs w:val="24"/>
        </w:rPr>
        <w:t>REvil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para recuperar seus dados e restaurar as operações. Além do prejuízo financeiro direto, a empresa sofreu com a interrupção da produção, que afetou a oferta de carne e causou um impacto significativo na cadeia de abastecimento.</w:t>
      </w:r>
    </w:p>
    <w:p w:rsidR="002D6344" w:rsidRPr="002D6344" w:rsidRDefault="002D6344" w:rsidP="002D634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Tipo de proteção que poderia ter sido aplicada:</w:t>
      </w:r>
    </w:p>
    <w:p w:rsidR="002D6344" w:rsidRPr="002D6344" w:rsidRDefault="002D6344" w:rsidP="002D634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Gerenciamento de patches:</w:t>
      </w:r>
      <w:r w:rsidRPr="002D6344">
        <w:rPr>
          <w:rFonts w:ascii="Arial" w:hAnsi="Arial" w:cs="Arial"/>
          <w:sz w:val="24"/>
          <w:szCs w:val="24"/>
        </w:rPr>
        <w:t xml:space="preserve"> Manter todos os sistemas e softwares atualizados para corrigir vulnerabilidades conhecidas.</w:t>
      </w:r>
    </w:p>
    <w:p w:rsidR="002D6344" w:rsidRPr="002D6344" w:rsidRDefault="002D6344" w:rsidP="002D634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 xml:space="preserve">Autenticação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multifator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MFA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>):</w:t>
      </w:r>
      <w:r w:rsidRPr="002D6344">
        <w:rPr>
          <w:rFonts w:ascii="Arial" w:hAnsi="Arial" w:cs="Arial"/>
          <w:sz w:val="24"/>
          <w:szCs w:val="24"/>
        </w:rPr>
        <w:t xml:space="preserve"> Exigir um segundo fator de verificação para acesso a sistemas críticos, como </w:t>
      </w:r>
      <w:proofErr w:type="spellStart"/>
      <w:r w:rsidRPr="002D6344">
        <w:rPr>
          <w:rFonts w:ascii="Arial" w:hAnsi="Arial" w:cs="Arial"/>
          <w:sz w:val="24"/>
          <w:szCs w:val="24"/>
        </w:rPr>
        <w:t>VPNs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e redes corporativas.</w:t>
      </w:r>
    </w:p>
    <w:p w:rsidR="002D6344" w:rsidRPr="002D6344" w:rsidRDefault="002D6344" w:rsidP="002D634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Segmentação de rede:</w:t>
      </w:r>
      <w:r w:rsidRPr="002D6344">
        <w:rPr>
          <w:rFonts w:ascii="Arial" w:hAnsi="Arial" w:cs="Arial"/>
          <w:sz w:val="24"/>
          <w:szCs w:val="24"/>
        </w:rPr>
        <w:t xml:space="preserve"> Isolar partes da rede para que, caso uma área seja comprometida, o ataque não se espalhe para toda a infraestrutura da empresa.</w:t>
      </w:r>
    </w:p>
    <w:p w:rsidR="002D6344" w:rsidRPr="002D6344" w:rsidRDefault="002D6344" w:rsidP="002D634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Backups:</w:t>
      </w:r>
      <w:r w:rsidRPr="002D6344">
        <w:rPr>
          <w:rFonts w:ascii="Arial" w:hAnsi="Arial" w:cs="Arial"/>
          <w:sz w:val="24"/>
          <w:szCs w:val="24"/>
        </w:rPr>
        <w:t xml:space="preserve"> Manter backups de dados </w:t>
      </w:r>
      <w:proofErr w:type="spellStart"/>
      <w:r w:rsidRPr="002D6344">
        <w:rPr>
          <w:rFonts w:ascii="Arial" w:hAnsi="Arial" w:cs="Arial"/>
          <w:sz w:val="24"/>
          <w:szCs w:val="24"/>
        </w:rPr>
        <w:t>offline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e de forma segura, o que permite a recuperação sem a necessidade de pagar o resgate.</w:t>
      </w:r>
    </w:p>
    <w:p w:rsidR="009B05F5" w:rsidRDefault="009B05F5">
      <w:pPr>
        <w:rPr>
          <w:rFonts w:ascii="Arial" w:hAnsi="Arial" w:cs="Arial"/>
          <w:sz w:val="24"/>
          <w:szCs w:val="24"/>
        </w:rPr>
      </w:pPr>
    </w:p>
    <w:p w:rsidR="002D6344" w:rsidRDefault="002D6344">
      <w:pPr>
        <w:rPr>
          <w:rFonts w:ascii="Arial" w:hAnsi="Arial" w:cs="Arial"/>
          <w:sz w:val="24"/>
          <w:szCs w:val="24"/>
        </w:rPr>
      </w:pPr>
    </w:p>
    <w:p w:rsidR="002D6344" w:rsidRDefault="002D6344" w:rsidP="002D634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lastRenderedPageBreak/>
        <w:t>Ataque de Injeção de SQL à Microsoft</w:t>
      </w:r>
    </w:p>
    <w:p w:rsidR="002D6344" w:rsidRPr="002D6344" w:rsidRDefault="002D6344" w:rsidP="002D6344">
      <w:pPr>
        <w:rPr>
          <w:rFonts w:ascii="Arial" w:hAnsi="Arial" w:cs="Arial"/>
          <w:b/>
          <w:bCs/>
          <w:sz w:val="24"/>
          <w:szCs w:val="24"/>
        </w:rPr>
      </w:pPr>
    </w:p>
    <w:p w:rsidR="002D6344" w:rsidRPr="002D6344" w:rsidRDefault="002D6344" w:rsidP="002D634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Data aproximada:</w:t>
      </w:r>
      <w:r w:rsidRPr="002D634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D6344">
        <w:rPr>
          <w:rFonts w:ascii="Arial" w:hAnsi="Arial" w:cs="Arial"/>
          <w:sz w:val="24"/>
          <w:szCs w:val="24"/>
        </w:rPr>
        <w:t>Agosto</w:t>
      </w:r>
      <w:proofErr w:type="gramEnd"/>
      <w:r w:rsidRPr="002D6344">
        <w:rPr>
          <w:rFonts w:ascii="Arial" w:hAnsi="Arial" w:cs="Arial"/>
          <w:sz w:val="24"/>
          <w:szCs w:val="24"/>
        </w:rPr>
        <w:t xml:space="preserve"> de 2020</w:t>
      </w:r>
    </w:p>
    <w:p w:rsidR="002D6344" w:rsidRPr="002D6344" w:rsidRDefault="002D6344" w:rsidP="002D634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Tipo de ataque:</w:t>
      </w:r>
      <w:r w:rsidRPr="002D6344">
        <w:rPr>
          <w:rFonts w:ascii="Arial" w:hAnsi="Arial" w:cs="Arial"/>
          <w:sz w:val="24"/>
          <w:szCs w:val="24"/>
        </w:rPr>
        <w:t xml:space="preserve"> Injeção de SQL (SQL </w:t>
      </w:r>
      <w:proofErr w:type="spellStart"/>
      <w:r w:rsidRPr="002D6344">
        <w:rPr>
          <w:rFonts w:ascii="Arial" w:hAnsi="Arial" w:cs="Arial"/>
          <w:sz w:val="24"/>
          <w:szCs w:val="24"/>
        </w:rPr>
        <w:t>Injection</w:t>
      </w:r>
      <w:proofErr w:type="spellEnd"/>
      <w:r w:rsidRPr="002D6344">
        <w:rPr>
          <w:rFonts w:ascii="Arial" w:hAnsi="Arial" w:cs="Arial"/>
          <w:sz w:val="24"/>
          <w:szCs w:val="24"/>
        </w:rPr>
        <w:t>)</w:t>
      </w:r>
    </w:p>
    <w:p w:rsidR="002D6344" w:rsidRPr="002D6344" w:rsidRDefault="002D6344" w:rsidP="002D634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Descrição do ataque:</w:t>
      </w:r>
      <w:r w:rsidRPr="002D6344">
        <w:rPr>
          <w:rFonts w:ascii="Arial" w:hAnsi="Arial" w:cs="Arial"/>
          <w:sz w:val="24"/>
          <w:szCs w:val="24"/>
        </w:rPr>
        <w:t xml:space="preserve"> Um grupo de hackers chamado "Lapsus$" usou uma técnica de </w:t>
      </w:r>
      <w:r w:rsidRPr="002D6344">
        <w:rPr>
          <w:rFonts w:ascii="Arial" w:hAnsi="Arial" w:cs="Arial"/>
          <w:b/>
          <w:bCs/>
          <w:sz w:val="24"/>
          <w:szCs w:val="24"/>
        </w:rPr>
        <w:t>injeção de SQL</w:t>
      </w:r>
      <w:r w:rsidRPr="002D6344">
        <w:rPr>
          <w:rFonts w:ascii="Arial" w:hAnsi="Arial" w:cs="Arial"/>
          <w:sz w:val="24"/>
          <w:szCs w:val="24"/>
        </w:rPr>
        <w:t xml:space="preserve"> para roubar dados de repositórios privados de código fonte da Microsoft. A injeção de SQL é uma técnica em que o atacante insere comandos maliciosos em campos de entrada de um site para manipular a base de dados subjacente. Nesse caso, os hackers exploraram uma falha em um sistema de rastreamento de bugs da Microsoft.</w:t>
      </w:r>
    </w:p>
    <w:p w:rsidR="002D6344" w:rsidRPr="002D6344" w:rsidRDefault="002D6344" w:rsidP="002D634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Vulnerabilidade explorada:</w:t>
      </w:r>
      <w:r w:rsidRPr="002D6344">
        <w:rPr>
          <w:rFonts w:ascii="Arial" w:hAnsi="Arial" w:cs="Arial"/>
          <w:sz w:val="24"/>
          <w:szCs w:val="24"/>
        </w:rPr>
        <w:t xml:space="preserve"> Embora a Microsoft não tenha divulgado um </w:t>
      </w:r>
      <w:proofErr w:type="spellStart"/>
      <w:r w:rsidRPr="002D6344">
        <w:rPr>
          <w:rFonts w:ascii="Arial" w:hAnsi="Arial" w:cs="Arial"/>
          <w:sz w:val="24"/>
          <w:szCs w:val="24"/>
        </w:rPr>
        <w:t>CVE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específico, a injeção de SQL é uma vulnerabilidade de segurança muito comum. Ela é categorizada pelo </w:t>
      </w:r>
      <w:proofErr w:type="spellStart"/>
      <w:r w:rsidRPr="002D6344">
        <w:rPr>
          <w:rFonts w:ascii="Arial" w:hAnsi="Arial" w:cs="Arial"/>
          <w:sz w:val="24"/>
          <w:szCs w:val="24"/>
        </w:rPr>
        <w:t>CWE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(Common </w:t>
      </w:r>
      <w:proofErr w:type="spellStart"/>
      <w:r w:rsidRPr="002D6344">
        <w:rPr>
          <w:rFonts w:ascii="Arial" w:hAnsi="Arial" w:cs="Arial"/>
          <w:sz w:val="24"/>
          <w:szCs w:val="24"/>
        </w:rPr>
        <w:t>Weakness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6344">
        <w:rPr>
          <w:rFonts w:ascii="Arial" w:hAnsi="Arial" w:cs="Arial"/>
          <w:sz w:val="24"/>
          <w:szCs w:val="24"/>
        </w:rPr>
        <w:t>Enumeration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) como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CWE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 xml:space="preserve">-89: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Improper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Neutralization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Special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Elements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used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an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 xml:space="preserve"> SQL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Command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 xml:space="preserve"> ('SQL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Injection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>')</w:t>
      </w:r>
      <w:r w:rsidRPr="002D6344">
        <w:rPr>
          <w:rFonts w:ascii="Arial" w:hAnsi="Arial" w:cs="Arial"/>
          <w:sz w:val="24"/>
          <w:szCs w:val="24"/>
        </w:rPr>
        <w:t>. A injeção de SQL ocorre quando um aplicativo não valida ou "limpa" corretamente a entrada de dados do usuário antes de usá-la em uma consulta de banco de dados, permitindo que o atacante execute comandos SQL não autorizados.</w:t>
      </w:r>
    </w:p>
    <w:p w:rsidR="002D6344" w:rsidRPr="002D6344" w:rsidRDefault="002D6344" w:rsidP="002D634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Impactos e/ou prejuízo:</w:t>
      </w:r>
      <w:r w:rsidRPr="002D6344">
        <w:rPr>
          <w:rFonts w:ascii="Arial" w:hAnsi="Arial" w:cs="Arial"/>
          <w:sz w:val="24"/>
          <w:szCs w:val="24"/>
        </w:rPr>
        <w:t xml:space="preserve"> O principal impacto foi o roubo de dados de código fonte de produtos da Microsoft, incluindo o Bing, Cortana e </w:t>
      </w:r>
      <w:proofErr w:type="spellStart"/>
      <w:r w:rsidRPr="002D6344">
        <w:rPr>
          <w:rFonts w:ascii="Arial" w:hAnsi="Arial" w:cs="Arial"/>
          <w:sz w:val="24"/>
          <w:szCs w:val="24"/>
        </w:rPr>
        <w:t>Azure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6344">
        <w:rPr>
          <w:rFonts w:ascii="Arial" w:hAnsi="Arial" w:cs="Arial"/>
          <w:sz w:val="24"/>
          <w:szCs w:val="24"/>
        </w:rPr>
        <w:t>DevOps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. O grupo Lapsus$ divulgou os dados roubados em canais do </w:t>
      </w:r>
      <w:proofErr w:type="spellStart"/>
      <w:r w:rsidRPr="002D6344">
        <w:rPr>
          <w:rFonts w:ascii="Arial" w:hAnsi="Arial" w:cs="Arial"/>
          <w:sz w:val="24"/>
          <w:szCs w:val="24"/>
        </w:rPr>
        <w:t>Telegram</w:t>
      </w:r>
      <w:proofErr w:type="spellEnd"/>
      <w:r w:rsidRPr="002D6344">
        <w:rPr>
          <w:rFonts w:ascii="Arial" w:hAnsi="Arial" w:cs="Arial"/>
          <w:sz w:val="24"/>
          <w:szCs w:val="24"/>
        </w:rPr>
        <w:t>, expondo a propriedade intelectual da empresa e potencialmente permitindo que outros hackers identificassem e explorassem novas vulnerabilidades. A Microsoft teve que investir recursos significativos para analisar o código vazado e reforçar suas defesas.</w:t>
      </w:r>
    </w:p>
    <w:p w:rsidR="002D6344" w:rsidRPr="002D6344" w:rsidRDefault="002D6344" w:rsidP="002D634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Tipo de proteção que poderia ter sido aplicada:</w:t>
      </w:r>
    </w:p>
    <w:p w:rsidR="002D6344" w:rsidRPr="002D6344" w:rsidRDefault="002D6344" w:rsidP="002D634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Consultas parametrizadas:</w:t>
      </w:r>
      <w:r w:rsidRPr="002D6344">
        <w:rPr>
          <w:rFonts w:ascii="Arial" w:hAnsi="Arial" w:cs="Arial"/>
          <w:sz w:val="24"/>
          <w:szCs w:val="24"/>
        </w:rPr>
        <w:t xml:space="preserve"> Usar consultas preparadas (</w:t>
      </w:r>
      <w:proofErr w:type="spellStart"/>
      <w:r w:rsidRPr="002D6344">
        <w:rPr>
          <w:rFonts w:ascii="Arial" w:hAnsi="Arial" w:cs="Arial"/>
          <w:sz w:val="24"/>
          <w:szCs w:val="24"/>
        </w:rPr>
        <w:t>prepared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6344">
        <w:rPr>
          <w:rFonts w:ascii="Arial" w:hAnsi="Arial" w:cs="Arial"/>
          <w:sz w:val="24"/>
          <w:szCs w:val="24"/>
        </w:rPr>
        <w:t>statements</w:t>
      </w:r>
      <w:proofErr w:type="spellEnd"/>
      <w:r w:rsidRPr="002D6344">
        <w:rPr>
          <w:rFonts w:ascii="Arial" w:hAnsi="Arial" w:cs="Arial"/>
          <w:sz w:val="24"/>
          <w:szCs w:val="24"/>
        </w:rPr>
        <w:t>) que separam a lógica do SQL dos dados de entrada, impedindo a execução de comandos maliciosos.</w:t>
      </w:r>
    </w:p>
    <w:p w:rsidR="002D6344" w:rsidRPr="002D6344" w:rsidRDefault="002D6344" w:rsidP="002D634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Validação de entrada:</w:t>
      </w:r>
      <w:r w:rsidRPr="002D6344">
        <w:rPr>
          <w:rFonts w:ascii="Arial" w:hAnsi="Arial" w:cs="Arial"/>
          <w:sz w:val="24"/>
          <w:szCs w:val="24"/>
        </w:rPr>
        <w:t xml:space="preserve"> Implementar validação rigorosa para todas as entradas de usuário, garantindo que os dados correspondam ao tipo esperado e não contenham caracteres especiais ou comandos perigosos.</w:t>
      </w:r>
    </w:p>
    <w:p w:rsidR="002D6344" w:rsidRPr="002D6344" w:rsidRDefault="002D6344" w:rsidP="002D634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t>Princípio do menor privilégio:</w:t>
      </w:r>
      <w:r w:rsidRPr="002D6344">
        <w:rPr>
          <w:rFonts w:ascii="Arial" w:hAnsi="Arial" w:cs="Arial"/>
          <w:sz w:val="24"/>
          <w:szCs w:val="24"/>
        </w:rPr>
        <w:t xml:space="preserve"> As contas de usuário do banco de dados não devem ter permissões excessivas, limitando o que um atacante pode fazer mesmo se conseguir injetar um comando.</w:t>
      </w:r>
    </w:p>
    <w:p w:rsidR="002D6344" w:rsidRPr="002D6344" w:rsidRDefault="002D6344" w:rsidP="002D634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D6344">
        <w:rPr>
          <w:rFonts w:ascii="Arial" w:hAnsi="Arial" w:cs="Arial"/>
          <w:b/>
          <w:bCs/>
          <w:sz w:val="24"/>
          <w:szCs w:val="24"/>
        </w:rPr>
        <w:lastRenderedPageBreak/>
        <w:t xml:space="preserve">Web 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Application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 xml:space="preserve"> Firewall (</w:t>
      </w:r>
      <w:proofErr w:type="spellStart"/>
      <w:r w:rsidRPr="002D6344">
        <w:rPr>
          <w:rFonts w:ascii="Arial" w:hAnsi="Arial" w:cs="Arial"/>
          <w:b/>
          <w:bCs/>
          <w:sz w:val="24"/>
          <w:szCs w:val="24"/>
        </w:rPr>
        <w:t>WAF</w:t>
      </w:r>
      <w:proofErr w:type="spellEnd"/>
      <w:r w:rsidRPr="002D6344">
        <w:rPr>
          <w:rFonts w:ascii="Arial" w:hAnsi="Arial" w:cs="Arial"/>
          <w:b/>
          <w:bCs/>
          <w:sz w:val="24"/>
          <w:szCs w:val="24"/>
        </w:rPr>
        <w:t>):</w:t>
      </w:r>
      <w:r w:rsidRPr="002D6344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2D6344">
        <w:rPr>
          <w:rFonts w:ascii="Arial" w:hAnsi="Arial" w:cs="Arial"/>
          <w:sz w:val="24"/>
          <w:szCs w:val="24"/>
        </w:rPr>
        <w:t>WAF</w:t>
      </w:r>
      <w:proofErr w:type="spellEnd"/>
      <w:r w:rsidRPr="002D6344">
        <w:rPr>
          <w:rFonts w:ascii="Arial" w:hAnsi="Arial" w:cs="Arial"/>
          <w:sz w:val="24"/>
          <w:szCs w:val="24"/>
        </w:rPr>
        <w:t xml:space="preserve"> pode inspecionar e filtrar o tráfego HTTP, bloqueando tentativas de injeção de SQL antes que cheguem ao servidor web.</w:t>
      </w:r>
    </w:p>
    <w:p w:rsidR="002D6344" w:rsidRPr="002D6344" w:rsidRDefault="002D6344">
      <w:pPr>
        <w:rPr>
          <w:rFonts w:ascii="Arial" w:hAnsi="Arial" w:cs="Arial"/>
          <w:sz w:val="24"/>
          <w:szCs w:val="24"/>
        </w:rPr>
      </w:pPr>
    </w:p>
    <w:sectPr w:rsidR="002D6344" w:rsidRPr="002D6344" w:rsidSect="002D634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4147"/>
    <w:multiLevelType w:val="multilevel"/>
    <w:tmpl w:val="2060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650F5"/>
    <w:multiLevelType w:val="multilevel"/>
    <w:tmpl w:val="35D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44"/>
    <w:rsid w:val="002D6344"/>
    <w:rsid w:val="00514CD3"/>
    <w:rsid w:val="009B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09B04"/>
  <w15:chartTrackingRefBased/>
  <w15:docId w15:val="{ED44DD83-F594-41BC-9BA3-1E572723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2D634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D6344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2D6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Este arquivo contém dois exemplos de ataques cibernéticos que ocorreram no decorrer dos últimos cinco anos.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684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PESQUISA</dc:subject>
  <dc:creator>Lauanda Jones</dc:creator>
  <cp:keywords/>
  <dc:description/>
  <cp:lastModifiedBy>Lauanda Jones</cp:lastModifiedBy>
  <cp:revision>1</cp:revision>
  <dcterms:created xsi:type="dcterms:W3CDTF">2025-09-15T19:11:00Z</dcterms:created>
  <dcterms:modified xsi:type="dcterms:W3CDTF">2025-09-15T19:22:00Z</dcterms:modified>
  <cp:category>Sistemas Computacionais e Segurança – SCS</cp:category>
</cp:coreProperties>
</file>