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keepNext w:val="true"/>
        <w:spacing w:before="360" w:after="280"/>
        <w:jc w:val="center"/>
        <w:rPr>
          <w:lang w:val="fr-FR"/>
        </w:rPr>
      </w:pPr>
      <w:r>
        <w:rPr>
          <w:b/>
          <w:i w:val="false"/>
          <w:strike w:val="false"/>
          <w:dstrike w:val="false"/>
          <w:color w:val="215E99"/>
          <w:sz w:val="32"/>
        </w:rPr>
        <w:t>Interprétation de mutations génotypiques pour</w:t>
        <w:br/>
        <w:t>la résistance aux antiviraux (HSV-</w:t>
      </w:r>
      <w:r>
        <w:rPr>
          <w:b/>
          <w:i w:val="false"/>
          <w:strike w:val="false"/>
          <w:dstrike w:val="false"/>
          <w:color w:val="215E99"/>
          <w:sz w:val="32"/>
        </w:rPr>
        <w:t>1</w:t>
      </w:r>
      <w:r>
        <w:rPr>
          <w:b/>
          <w:i w:val="false"/>
          <w:strike w:val="false"/>
          <w:dstrike w:val="false"/>
          <w:color w:val="215E99"/>
          <w:sz w:val="32"/>
        </w:rPr>
        <w:t>)</w:t>
      </w:r>
    </w:p>
    <w:tbl>
      <w:tblPr>
        <w:tblStyle w:val="Grilledutableau"/>
        <w:tblpPr w:bottomFromText="0" w:horzAnchor="margin" w:leftFromText="141" w:rightFromText="141" w:tblpX="0" w:tblpY="190" w:topFromText="0" w:vertAnchor="text"/>
        <w:tblW w:w="89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1985"/>
        <w:gridCol w:w="1843"/>
        <w:gridCol w:w="2858"/>
      </w:tblGrid>
      <w:tr>
        <w:trPr>
          <w:trHeight w:val="274" w:hRule="atLeast"/>
        </w:trPr>
        <w:tc>
          <w:tcPr>
            <w:tcW w:w="2267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Date du prélèvement :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_DATEPREL_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Numéro de tube :</w:t>
            </w:r>
          </w:p>
        </w:tc>
        <w:tc>
          <w:tcPr>
            <w:tcW w:w="2858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_IDTUBE_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Nom Prénom 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_IDPATIENT_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Matériel :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_MATERIEL_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Base de données de résistance 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 w:val="false"/>
                <w:i w:val="false"/>
                <w:strike w:val="false"/>
                <w:dstrike w:val="false"/>
                <w:sz w:val="16"/>
                <w:szCs w:val="16"/>
              </w:rPr>
              <w:t>_DATABASE_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20"/>
              </w:rPr>
              <w:t>Numéro de run :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20"/>
              </w:rPr>
              <w:t>_NUMRUN_</w:t>
            </w:r>
          </w:p>
        </w:tc>
      </w:tr>
    </w:tbl>
    <w:p>
      <w:pPr>
        <w:pStyle w:val="Normal"/>
        <w:keepNext w:val="true"/>
        <w:spacing w:before="320" w:after="120"/>
        <w:rPr>
          <w:b/>
          <w:b/>
          <w:i w:val="false"/>
          <w:i w:val="false"/>
          <w:strike w:val="false"/>
          <w:dstrike w:val="false"/>
          <w:color w:val="215E99"/>
          <w:sz w:val="28"/>
        </w:rPr>
      </w:pPr>
      <w:r>
        <w:rPr>
          <w:b/>
          <w:i w:val="false"/>
          <w:strike w:val="false"/>
          <w:dstrike w:val="false"/>
          <w:color w:val="215E99"/>
          <w:sz w:val="28"/>
        </w:rPr>
      </w:r>
    </w:p>
    <w:tbl>
      <w:tblPr>
        <w:tblW w:w="9024" w:type="dxa"/>
        <w:jc w:val="left"/>
        <w:tblInd w:w="16" w:type="dxa"/>
        <w:tblLayout w:type="fixed"/>
        <w:tblCellMar>
          <w:top w:w="0" w:type="dxa"/>
          <w:left w:w="30" w:type="dxa"/>
          <w:bottom w:w="0" w:type="dxa"/>
          <w:right w:w="30" w:type="dxa"/>
        </w:tblCellMar>
        <w:tblLook w:val="0000" w:noHBand="0" w:noVBand="0" w:firstColumn="0" w:lastRow="0" w:lastColumn="0" w:firstRow="0"/>
      </w:tblPr>
      <w:tblGrid>
        <w:gridCol w:w="1414"/>
        <w:gridCol w:w="2268"/>
        <w:gridCol w:w="2041"/>
        <w:gridCol w:w="3300"/>
      </w:tblGrid>
      <w:tr>
        <w:trPr>
          <w:tblHeader w:val="true"/>
          <w:trHeight w:val="406" w:hRule="atLeast"/>
        </w:trPr>
        <w:tc>
          <w:tcPr>
            <w:tcW w:w="90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b/>
                <w:b/>
                <w:bCs/>
                <w:color w:val="000000"/>
                <w:kern w:val="0"/>
                <w:sz w:val="32"/>
                <w:szCs w:val="32"/>
                <w:lang w:val="fr-FR"/>
              </w:rPr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32"/>
                <w:szCs w:val="32"/>
                <w:lang w:val="fr-FR"/>
              </w:rPr>
              <w:t>Interprétation de la résistance</w:t>
            </w:r>
          </w:p>
        </w:tc>
      </w:tr>
      <w:tr>
        <w:trPr>
          <w:tblHeader w:val="true"/>
          <w:trHeight w:val="1010" w:hRule="atLeast"/>
        </w:trPr>
        <w:tc>
          <w:tcPr>
            <w:tcW w:w="14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Antiviral</w:t>
            </w:r>
          </w:p>
        </w:tc>
        <w:tc>
          <w:tcPr>
            <w:tcW w:w="2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 xml:space="preserve">Gènes impliqués dans la 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strike w:val="false"/>
                <w:dstrike w:val="false"/>
                <w:color w:val="000000"/>
                <w:kern w:val="0"/>
                <w:sz w:val="22"/>
                <w:szCs w:val="22"/>
                <w:lang w:val="fr-FR"/>
              </w:rPr>
              <w:t>résistance</w:t>
            </w:r>
          </w:p>
        </w:tc>
        <w:tc>
          <w:tcPr>
            <w:tcW w:w="20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b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 xml:space="preserve">Mutation de 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>résistance</w:t>
            </w:r>
          </w:p>
        </w:tc>
        <w:tc>
          <w:tcPr>
            <w:tcW w:w="33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>
                <w:rFonts w:ascii="Aptos Narrow" w:hAnsi="Aptos Narrow" w:eastAsia="Aptos" w:cs="Aptos Narrow" w:eastAsiaTheme="minorHAnsi"/>
                <w:b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pPr>
            <w:r>
              <w:rPr>
                <w:rFonts w:eastAsia="Aptos" w:cs="Aptos Narrow" w:eastAsiaTheme="minorHAnsi" w:ascii="Aptos Narrow" w:hAnsi="Aptos Narrow"/>
                <w:b/>
                <w:bCs/>
                <w:color w:val="000000"/>
                <w:kern w:val="0"/>
                <w:sz w:val="22"/>
                <w:szCs w:val="22"/>
                <w:lang w:val="fr-FR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0"/>
              <w:jc w:val="center"/>
              <w:outlineLvl w:val="9"/>
              <w:rPr/>
            </w:pPr>
            <w:r>
              <w:rPr>
                <w:rFonts w:eastAsia="Aptos" w:cs="Aptos Narrow" w:ascii="Aptos Narrow" w:hAnsi="Aptos Narrow" w:eastAsiaTheme="minorHAnsi"/>
                <w:b/>
                <w:bCs/>
                <w:color w:val="000000"/>
                <w:kern w:val="0"/>
                <w:sz w:val="22"/>
                <w:szCs w:val="22"/>
                <w:lang w:val="fr-FR"/>
              </w:rPr>
              <w:t>Interprétation</w:t>
            </w:r>
          </w:p>
        </w:tc>
      </w:tr>
      <w:tr>
        <w:trPr>
          <w:cantSplit w:val="true"/>
        </w:trPr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Aciclovir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UL23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_MUT-ACV-UL23_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_INT-ACV-UL23_</w:t>
            </w:r>
          </w:p>
        </w:tc>
      </w:tr>
      <w:tr>
        <w:trPr>
          <w:cantSplit w:val="true"/>
        </w:trPr>
        <w:tc>
          <w:tcPr>
            <w:tcW w:w="14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UL30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_MUT-ACV-UL30_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_INT-ACV-UL30_</w:t>
            </w:r>
          </w:p>
        </w:tc>
      </w:tr>
      <w:tr>
        <w:trPr>
          <w:cantSplit w:val="true"/>
        </w:trPr>
        <w:tc>
          <w:tcPr>
            <w:tcW w:w="141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Penciclovir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UL23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_MUT-PCV-UL23_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_INT-PCV-UL23_</w:t>
            </w:r>
          </w:p>
        </w:tc>
      </w:tr>
      <w:tr>
        <w:trPr>
          <w:cantSplit w:val="true"/>
        </w:trPr>
        <w:tc>
          <w:tcPr>
            <w:tcW w:w="14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UL30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_MUT-PCV-UL30_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_INT-PCV-UL30_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Foscarnet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UL30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_MUT-FOS-UL30_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_INT-FOS-UL30_</w:t>
            </w:r>
          </w:p>
        </w:tc>
      </w:tr>
      <w:tr>
        <w:trPr>
          <w:cantSplit w:val="true"/>
        </w:trPr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Cidofovir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UL30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_MUT-CDV-UL30_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widowControl w:val="false"/>
              <w:spacing w:before="40" w:after="40"/>
              <w:jc w:val="center"/>
              <w:rPr>
                <w:rFonts w:ascii="aptos Narrow" w:hAnsi="aptos Narrow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aptos Narrow" w:hAnsi="aptos Narrow"/>
                <w:b w:val="false"/>
                <w:bCs w:val="false"/>
                <w:sz w:val="22"/>
                <w:szCs w:val="22"/>
              </w:rPr>
              <w:t>_INT-CDV-UL30_</w:t>
            </w:r>
          </w:p>
        </w:tc>
      </w:tr>
    </w:tbl>
    <w:p>
      <w:pPr>
        <w:pStyle w:val="Normal"/>
        <w:spacing w:before="320" w:after="120"/>
        <w:rPr/>
      </w:pPr>
      <w:r>
        <w:rPr>
          <w:b/>
          <w:i w:val="false"/>
          <w:strike w:val="false"/>
          <w:dstrike w:val="false"/>
          <w:color w:val="215E99"/>
          <w:sz w:val="28"/>
        </w:rPr>
        <w:t>Conclusion de l’analyse :</w:t>
      </w:r>
    </w:p>
    <w:p>
      <w:pPr>
        <w:pStyle w:val="Normal"/>
        <w:spacing w:before="0" w:after="120"/>
        <w:rPr/>
      </w:pPr>
      <w:r>
        <w:rPr>
          <w:b w:val="false"/>
          <w:i w:val="false"/>
          <w:strike w:val="false"/>
          <w:dstrike w:val="false"/>
          <w:sz w:val="20"/>
        </w:rPr>
        <w:t>_CONCLUSIONSDELANALYSE_</w:t>
      </w:r>
    </w:p>
    <w:p>
      <w:pPr>
        <w:pStyle w:val="Normal"/>
        <w:keepNext w:val="true"/>
        <w:spacing w:before="320" w:after="120"/>
        <w:rPr/>
      </w:pPr>
      <w:r>
        <w:rPr>
          <w:b/>
          <w:i w:val="false"/>
          <w:strike w:val="false"/>
          <w:dstrike w:val="false"/>
          <w:color w:val="215E99"/>
          <w:sz w:val="28"/>
        </w:rPr>
        <w:t>Informations techniques</w:t>
      </w:r>
    </w:p>
    <w:tbl>
      <w:tblPr>
        <w:tblStyle w:val="Grilledutableau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49"/>
        <w:gridCol w:w="5922"/>
      </w:tblGrid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b/>
                <w:i w:val="false"/>
                <w:strike w:val="false"/>
                <w:dstrike w:val="false"/>
                <w:sz w:val="18"/>
                <w:szCs w:val="18"/>
              </w:rPr>
              <w:t>Numéro d’analyse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 w:val="false"/>
                <w:i w:val="false"/>
                <w:strike w:val="false"/>
                <w:dstrike w:val="false"/>
                <w:sz w:val="16"/>
                <w:szCs w:val="16"/>
              </w:rPr>
              <w:t>_NUMANALYSE_</w:t>
            </w:r>
          </w:p>
        </w:tc>
      </w:tr>
      <w:tr>
        <w:trPr/>
        <w:tc>
          <w:tcPr>
            <w:tcW w:w="3149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Souche de référence :</w:t>
            </w:r>
          </w:p>
        </w:tc>
        <w:tc>
          <w:tcPr>
            <w:tcW w:w="5922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_ACCESSIONNUMBER_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Version du logiciel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_VERSIONLOGICIEL_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Empreinte SHA-256 du conteneur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_EMPREINTE_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trike w:val="false"/>
                <w:dstrike w:val="false"/>
                <w:sz w:val="18"/>
              </w:rPr>
              <w:t>Empreinte SHA-256 de la base de données :</w:t>
            </w:r>
          </w:p>
        </w:tc>
        <w:tc>
          <w:tcPr>
            <w:tcW w:w="5922" w:type="dxa"/>
            <w:tcBorders/>
            <w:vAlign w:val="center"/>
          </w:tcPr>
          <w:p>
            <w:pPr>
              <w:pStyle w:val="Normal"/>
              <w:keepNext w:val="false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trike w:val="false"/>
                <w:dstrike w:val="false"/>
                <w:sz w:val="16"/>
              </w:rPr>
              <w:t>_DBEMPREINTE_</w:t>
            </w:r>
          </w:p>
        </w:tc>
      </w:tr>
    </w:tbl>
    <w:p>
      <w:pPr>
        <w:pStyle w:val="Normal"/>
        <w:spacing w:before="120" w:after="0"/>
        <w:rPr/>
      </w:pPr>
      <w:r>
        <w:rPr>
          <w:b w:val="false"/>
          <w:i/>
          <w:strike w:val="false"/>
          <w:dstrike w:val="false"/>
          <w:sz w:val="16"/>
        </w:rPr>
        <w:t>Résultat non accrédité. Séquençage avec la technologie Oxford Nanopore à lectures longues. Séquençage comparé à une souche de référence connue susceptible.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Narrow">
    <w:charset w:val="01"/>
    <w:family w:val="roman"/>
    <w:pitch w:val="variable"/>
  </w:font>
  <w:font w:name="aptos Narrow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>
        <w:rFonts w:ascii="Aptos Display" w:hAnsi="Aptos Display" w:cs="Aptos Display" w:asciiTheme="majorHAnsi" w:cstheme="majorHAnsi" w:hAnsiTheme="majorHAnsi"/>
        <w:lang w:val="fr-CH"/>
      </w:rPr>
    </w:pPr>
    <w:r>
      <w:rPr>
        <w:rFonts w:cs="Aptos Display" w:cstheme="majorHAnsi" w:ascii="Aptos Display" w:hAnsi="Aptos Display"/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>
        <w:rFonts w:ascii="Aptos Display" w:hAnsi="Aptos Display" w:cs="Aptos Display" w:asciiTheme="majorHAnsi" w:cstheme="majorHAnsi" w:hAnsiTheme="majorHAnsi"/>
        <w:lang w:val="fr-CH"/>
      </w:rPr>
    </w:pPr>
    <w:r>
      <w:rPr>
        <w:rFonts w:cs="Aptos Display" w:cstheme="majorHAnsi" w:ascii="Aptos Display" w:hAnsi="Aptos Display"/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ea5"/>
    <w:pPr>
      <w:widowControl/>
      <w:suppressAutoHyphens w:val="true"/>
      <w:bidi w:val="0"/>
      <w:spacing w:lineRule="auto" w:line="276" w:before="0" w:after="160"/>
      <w:jc w:val="left"/>
      <w:outlineLvl w:val="1"/>
    </w:pPr>
    <w:rPr>
      <w:rFonts w:ascii="Times New Roman" w:hAnsi="Times New Roman" w:eastAsia="Aptos" w:cs="Times New Roman"/>
      <w:color w:val="000000" w:themeColor="text1"/>
      <w:kern w:val="2"/>
      <w:sz w:val="20"/>
      <w:szCs w:val="20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244a41"/>
    <w:pPr>
      <w:keepNext w:val="true"/>
      <w:keepLines/>
      <w:spacing w:before="360" w:after="80"/>
      <w:jc w:val="center"/>
      <w:outlineLvl w:val="0"/>
    </w:pPr>
    <w:rPr>
      <w:rFonts w:eastAsia="" w:eastAsiaTheme="majorEastAsia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5c"/>
    <w:pPr>
      <w:spacing w:before="0" w:after="0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65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65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65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65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65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65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65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244a41"/>
    <w:rPr>
      <w:rFonts w:ascii="Times New Roman" w:hAnsi="Times New Roman" w:eastAsia="" w:cs="Times New Roman" w:eastAsiaTheme="majorEastAsia"/>
      <w:b/>
      <w:bCs/>
      <w:color w:val="000000" w:themeColor="text1"/>
      <w:sz w:val="28"/>
      <w:szCs w:val="28"/>
      <w:lang w:val="en-US"/>
    </w:rPr>
  </w:style>
  <w:style w:type="character" w:styleId="Titre2Car" w:customStyle="1">
    <w:name w:val="Titre 2 Car"/>
    <w:basedOn w:val="DefaultParagraphFont"/>
    <w:uiPriority w:val="9"/>
    <w:qFormat/>
    <w:rsid w:val="001c055c"/>
    <w:rPr>
      <w:rFonts w:ascii="Times New Roman" w:hAnsi="Times New Roman" w:cs="Times New Roman"/>
      <w:b/>
      <w:bCs/>
      <w:color w:val="000000" w:themeColor="text1"/>
      <w:sz w:val="22"/>
      <w:szCs w:val="22"/>
      <w:lang w:val="en-US"/>
    </w:rPr>
  </w:style>
  <w:style w:type="character" w:styleId="Titre3Car" w:customStyle="1">
    <w:name w:val="Titre 3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9016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90165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016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165c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0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6614"/>
    <w:rPr>
      <w:b/>
      <w:bCs/>
      <w:sz w:val="18"/>
      <w:szCs w:val="18"/>
    </w:rPr>
  </w:style>
  <w:style w:type="character" w:styleId="EntteCar" w:customStyle="1">
    <w:name w:val="En-têt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PieddepageCar" w:customStyle="1">
    <w:name w:val="Pied de pag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164bde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Caractresdenotedebasdepage" w:customStyle="1">
    <w:name w:val="Caractères de note de bas de page"/>
    <w:basedOn w:val="DefaultParagraphFont"/>
    <w:uiPriority w:val="99"/>
    <w:semiHidden/>
    <w:unhideWhenUsed/>
    <w:qFormat/>
    <w:rsid w:val="00164bde"/>
    <w:rPr>
      <w:vertAlign w:val="superscript"/>
    </w:rPr>
  </w:style>
  <w:style w:type="character" w:styleId="Ancredenotedebasdepage" w:customStyle="1">
    <w:name w:val="Ancre de note de bas de page"/>
    <w:rPr>
      <w:vertAlign w:val="superscript"/>
    </w:rPr>
  </w:style>
  <w:style w:type="character" w:styleId="Ancredenotedefin" w:customStyle="1">
    <w:name w:val="Ancre de note de fin"/>
    <w:rPr>
      <w:vertAlign w:val="superscript"/>
    </w:rPr>
  </w:style>
  <w:style w:type="character" w:styleId="Caractresdenotedefin" w:customStyle="1">
    <w:name w:val="Caractères de note de fin"/>
    <w:qFormat/>
    <w:rPr/>
  </w:style>
  <w:style w:type="character" w:styleId="Textesource" w:customStyle="1">
    <w:name w:val="Texte source"/>
    <w:qFormat/>
    <w:rPr>
      <w:rFonts w:ascii="Liberation Mono" w:hAnsi="Liberation Mono" w:eastAsia="Liberation Mono" w:cs="Liberation Mono"/>
    </w:rPr>
  </w:style>
  <w:style w:type="character" w:styleId="Accentuationforte" w:customStyle="1">
    <w:name w:val="Accentuation forte"/>
    <w:qFormat/>
    <w:rPr>
      <w:b/>
      <w:bCs/>
    </w:rPr>
  </w:style>
  <w:style w:type="character" w:styleId="Caractresdenumrotation" w:customStyle="1">
    <w:name w:val="Caractères de numérotation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ed67d0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uiPriority w:val="99"/>
    <w:qFormat/>
    <w:rsid w:val="00ed67d0"/>
    <w:rPr>
      <w:rFonts w:ascii="Times New Roman" w:hAnsi="Times New Roman" w:eastAsia="Aptos" w:cs="Times New Roman"/>
      <w:color w:val="000000" w:themeColor="text1"/>
      <w:sz w:val="20"/>
      <w:szCs w:val="20"/>
      <w:lang w:val="en-US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ed67d0"/>
    <w:rPr>
      <w:rFonts w:ascii="Times New Roman" w:hAnsi="Times New Roman" w:eastAsia="Aptos" w:cs="Times New Roman"/>
      <w:b/>
      <w:bCs/>
      <w:color w:val="000000" w:themeColor="text1"/>
      <w:sz w:val="20"/>
      <w:szCs w:val="20"/>
      <w:lang w:val="en-US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Corpsdetexte"/>
    <w:link w:val="TitreCar"/>
    <w:uiPriority w:val="10"/>
    <w:qFormat/>
    <w:rsid w:val="0090165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oustitre">
    <w:name w:val="Subtitle"/>
    <w:basedOn w:val="Normal"/>
    <w:next w:val="Normal"/>
    <w:link w:val="SoustitreCar"/>
    <w:uiPriority w:val="11"/>
    <w:qFormat/>
    <w:rsid w:val="0090165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90165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5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90165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Entteetpieddepage" w:customStyle="1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64bde"/>
    <w:pPr>
      <w:spacing w:lineRule="auto" w:line="240" w:before="0" w:after="0"/>
    </w:pPr>
    <w:rPr/>
  </w:style>
  <w:style w:type="paragraph" w:styleId="Contenudecadre" w:customStyle="1">
    <w:name w:val="Contenu de cadre"/>
    <w:basedOn w:val="Normal"/>
    <w:qFormat/>
    <w:pPr/>
    <w:rPr/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Annotationtext">
    <w:name w:val="annotation text"/>
    <w:basedOn w:val="Normal"/>
    <w:link w:val="CommentaireCar"/>
    <w:uiPriority w:val="99"/>
    <w:unhideWhenUsed/>
    <w:qFormat/>
    <w:rsid w:val="00ed67d0"/>
    <w:pPr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ed67d0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74e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">
    <w:name w:val="Grid Table 4"/>
    <w:basedOn w:val="TableauNormal"/>
    <w:uiPriority w:val="49"/>
    <w:rsid w:val="00f66fe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66a4d"/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3-Accentuation5">
    <w:name w:val="Grid Table 3 Accent 5"/>
    <w:basedOn w:val="TableauNormal"/>
    <w:uiPriority w:val="48"/>
    <w:rsid w:val="001b55bb"/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A02B93" w:themeColor="accent5" w:sz="4" w:space="0"/>
        </w:tcBorders>
      </w:tcPr>
    </w:tblStylePr>
    <w:tblStylePr w:type="nwCell">
      <w:tblPr/>
      <w:tcPr>
        <w:tcBorders>
          <w:bottom w:val="single" w:color="A02B93" w:themeColor="accent5" w:sz="4" w:space="0"/>
        </w:tcBorders>
      </w:tcPr>
    </w:tblStylePr>
    <w:tblStylePr w:type="seCell">
      <w:tblPr/>
      <w:tcPr>
        <w:tcBorders>
          <w:top w:val="single" w:color="A02B93" w:themeColor="accent5" w:sz="4" w:space="0"/>
        </w:tcBorders>
      </w:tcPr>
    </w:tblStylePr>
    <w:tblStylePr w:type="swCell">
      <w:tblPr/>
      <w:tcPr>
        <w:tcBorders>
          <w:top w:val="single" w:color="A02B93" w:themeColor="accent5" w:sz="4" w:space="0"/>
        </w:tcBorders>
      </w:tcPr>
    </w:tblStylePr>
  </w:style>
  <w:style w:type="table" w:styleId="Tableausimple1">
    <w:name w:val="Plain Table 1"/>
    <w:basedOn w:val="TableauNormal"/>
    <w:uiPriority w:val="41"/>
    <w:rsid w:val="001b55bb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6">
    <w:name w:val="Grid Table 3 Accent 6"/>
    <w:basedOn w:val="TableauNormal"/>
    <w:uiPriority w:val="48"/>
    <w:rsid w:val="00a66a4d"/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4EA72E" w:themeColor="accent6" w:sz="4" w:space="0"/>
        </w:tcBorders>
      </w:tcPr>
    </w:tblStylePr>
    <w:tblStylePr w:type="nwCell">
      <w:tblPr/>
      <w:tcPr>
        <w:tcBorders>
          <w:bottom w:val="single" w:color="4EA72E" w:themeColor="accent6" w:sz="4" w:space="0"/>
        </w:tcBorders>
      </w:tcPr>
    </w:tblStylePr>
    <w:tblStylePr w:type="seCell">
      <w:tblPr/>
      <w:tcPr>
        <w:tcBorders>
          <w:top w:val="single" w:color="4EA72E" w:themeColor="accent6" w:sz="4" w:space="0"/>
        </w:tcBorders>
      </w:tcPr>
    </w:tblStylePr>
    <w:tblStylePr w:type="swCell">
      <w:tblPr/>
      <w:tcPr>
        <w:tcBorders>
          <w:top w:val="single" w:color="4EA72E" w:themeColor="accent6" w:sz="4" w:space="0"/>
        </w:tcBorders>
      </w:tcPr>
    </w:tblStylePr>
  </w:style>
  <w:style w:type="table" w:styleId="TableauGrille5Fonc">
    <w:name w:val="Grid Table 5 Dark"/>
    <w:basedOn w:val="TableauNormal"/>
    <w:uiPriority w:val="50"/>
    <w:rsid w:val="00a66a4d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StyleTableauRes">
    <w:name w:val="StyleTableauRes"/>
    <w:basedOn w:val="Grilledutableau"/>
    <w:uiPriority w:val="99"/>
    <w:rsid w:val="005377b4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Liste4">
    <w:name w:val="List Table 4"/>
    <w:basedOn w:val="TableauNormal"/>
    <w:uiPriority w:val="49"/>
    <w:rsid w:val="00fd69d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auRes1">
    <w:name w:val="StyleTableauRes1"/>
    <w:basedOn w:val="Grilledutableau"/>
    <w:uiPriority w:val="99"/>
    <w:rsid w:val="007727e5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Application>LibreOffice/7.3.7.2$Linux_X86_64 LibreOffice_project/30$Build-2</Application>
  <AppVersion>15.0000</AppVersion>
  <Pages>1</Pages>
  <Words>132</Words>
  <Characters>935</Characters>
  <CharactersWithSpaces>1013</CharactersWithSpaces>
  <Paragraphs>56</Paragraphs>
  <Company>Hôpitaux Universitaires de Genève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2024-03-19T16:33:00Z</dcterms:created>
  <dc:creator>Hgene</dc:creator>
  <dc:description/>
  <dc:language>es-SV</dc:language>
  <cp:lastModifiedBy/>
  <dcterms:modified xsi:type="dcterms:W3CDTF">2026-10-12T15:04:58Z</dcterms:modified>
  <cp:revision>232</cp:revision>
  <dc:subject>Interprétation génotypique de la résistance aux antiviraux HSV-2</dc:subject>
  <dc:title>Template clinique hgene HSV-2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