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keepNext w:val="true"/>
        <w:spacing w:before="360" w:after="280"/>
        <w:jc w:val="center"/>
        <w:rPr>
          <w:lang w:val="fr-FR"/>
        </w:rPr>
      </w:pPr>
      <w:r>
        <w:rPr>
          <w:b/>
          <w:i w:val="false"/>
          <w:strike w:val="false"/>
          <w:dstrike w:val="false"/>
          <w:color w:val="215E99"/>
          <w:sz w:val="32"/>
        </w:rPr>
        <w:t>Interprétation de mutations génotypiques pour</w:t>
        <w:br/>
        <w:t>la résistance aux antiviraux (CMV)</w:t>
      </w:r>
    </w:p>
    <w:tbl>
      <w:tblPr>
        <w:tblStyle w:val="Grilledutableau"/>
        <w:tblpPr w:bottomFromText="0" w:horzAnchor="margin" w:leftFromText="141" w:rightFromText="141" w:tblpX="0" w:tblpY="190" w:topFromText="0" w:vertAnchor="text"/>
        <w:tblW w:w="89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1985"/>
        <w:gridCol w:w="1843"/>
        <w:gridCol w:w="2858"/>
      </w:tblGrid>
      <w:tr>
        <w:trPr>
          <w:trHeight w:val="274" w:hRule="atLeast"/>
        </w:trPr>
        <w:tc>
          <w:tcPr>
            <w:tcW w:w="2267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Date du prélèvement :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_DATEPREL_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Numéro de tube :</w:t>
            </w:r>
          </w:p>
        </w:tc>
        <w:tc>
          <w:tcPr>
            <w:tcW w:w="2858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_IDTUBE_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Nom Prénom 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_IDPATIENT_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Matériel :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_MATERIEL_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Base de données de résistance 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b w:val="false"/>
                <w:i w:val="false"/>
                <w:strike w:val="false"/>
                <w:dstrike w:val="false"/>
                <w:sz w:val="16"/>
                <w:szCs w:val="16"/>
              </w:rPr>
              <w:t>_DATABASE_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Numéro d</w:t>
            </w:r>
            <w:r>
              <w:rPr>
                <w:b/>
                <w:i w:val="false"/>
                <w:strike w:val="false"/>
                <w:dstrike w:val="false"/>
                <w:sz w:val="20"/>
              </w:rPr>
              <w:t>e run</w:t>
            </w:r>
            <w:r>
              <w:rPr>
                <w:b/>
                <w:i w:val="false"/>
                <w:strike w:val="false"/>
                <w:dstrike w:val="false"/>
                <w:sz w:val="20"/>
              </w:rPr>
              <w:t xml:space="preserve"> :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_NUM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RUN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</w:tbl>
    <w:p>
      <w:pPr>
        <w:pStyle w:val="Normal"/>
        <w:keepNext w:val="true"/>
        <w:spacing w:before="320" w:after="120"/>
        <w:rPr>
          <w:b/>
          <w:b/>
          <w:i w:val="false"/>
          <w:i w:val="false"/>
          <w:strike w:val="false"/>
          <w:dstrike w:val="false"/>
          <w:color w:val="215E99"/>
          <w:sz w:val="28"/>
        </w:rPr>
      </w:pPr>
      <w:r>
        <w:rPr/>
      </w:r>
    </w:p>
    <w:tbl>
      <w:tblPr>
        <w:tblW w:w="9024" w:type="dxa"/>
        <w:jc w:val="left"/>
        <w:tblInd w:w="8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val="0000" w:noHBand="0" w:noVBand="0" w:firstColumn="0" w:lastRow="0" w:lastColumn="0" w:firstRow="0"/>
      </w:tblPr>
      <w:tblGrid>
        <w:gridCol w:w="1415"/>
        <w:gridCol w:w="2268"/>
        <w:gridCol w:w="2040"/>
        <w:gridCol w:w="3301"/>
      </w:tblGrid>
      <w:tr>
        <w:trPr>
          <w:trHeight w:val="406" w:hRule="atLeast"/>
        </w:trPr>
        <w:tc>
          <w:tcPr>
            <w:tcW w:w="9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C0C0C0" w:fill="auto" w:val="solid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b/>
                <w:b/>
                <w:bCs/>
                <w:color w:val="000000"/>
                <w:kern w:val="0"/>
                <w:sz w:val="32"/>
                <w:szCs w:val="3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32"/>
                <w:szCs w:val="32"/>
                <w:lang w:val="fr-FR"/>
              </w:rPr>
              <w:t>Interprétation de la résistance</w:t>
            </w:r>
          </w:p>
        </w:tc>
      </w:tr>
      <w:tr>
        <w:trPr>
          <w:trHeight w:val="1010" w:hRule="atLeast"/>
        </w:trPr>
        <w:tc>
          <w:tcPr>
            <w:tcW w:w="1415" w:type="dxa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Antiviral</w:t>
            </w:r>
          </w:p>
        </w:tc>
        <w:tc>
          <w:tcPr>
            <w:tcW w:w="2268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 xml:space="preserve">Gènes impliqués dans la 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résistance</w:t>
            </w:r>
          </w:p>
        </w:tc>
        <w:tc>
          <w:tcPr>
            <w:tcW w:w="2040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b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22"/>
                <w:szCs w:val="22"/>
                <w:lang w:val="fr-FR"/>
              </w:rPr>
              <w:t xml:space="preserve">Mutation de 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22"/>
                <w:szCs w:val="22"/>
                <w:lang w:val="fr-FR"/>
              </w:rPr>
              <w:t>résistance</w:t>
            </w:r>
          </w:p>
        </w:tc>
        <w:tc>
          <w:tcPr>
            <w:tcW w:w="3301" w:type="dxa"/>
            <w:tcBorders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b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22"/>
                <w:szCs w:val="22"/>
                <w:lang w:val="fr-FR"/>
              </w:rPr>
              <w:t>Interprétation</w:t>
            </w:r>
          </w:p>
        </w:tc>
      </w:tr>
      <w:tr>
        <w:trPr>
          <w:trHeight w:val="290" w:hRule="atLeast"/>
        </w:trPr>
        <w:tc>
          <w:tcPr>
            <w:tcW w:w="141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Ganciclovir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UL54</w:t>
            </w:r>
          </w:p>
        </w:tc>
        <w:tc>
          <w:tcPr>
            <w:tcW w:w="20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MUT-GCV-UL54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INT-GCV-UL54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290" w:hRule="atLeast"/>
        </w:trPr>
        <w:tc>
          <w:tcPr>
            <w:tcW w:w="1415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color w:val="000000"/>
                <w:kern w:val="0"/>
                <w:sz w:val="22"/>
                <w:szCs w:val="22"/>
                <w:lang w:val="fr-FR"/>
              </w:rPr>
            </w:r>
          </w:p>
        </w:tc>
        <w:tc>
          <w:tcPr>
            <w:tcW w:w="2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UL97</w:t>
            </w:r>
          </w:p>
        </w:tc>
        <w:tc>
          <w:tcPr>
            <w:tcW w:w="20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MUT-GCV-UL97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INT-GCV-UL97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290" w:hRule="atLeast"/>
        </w:trPr>
        <w:tc>
          <w:tcPr>
            <w:tcW w:w="14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Cidofovir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UL54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MUT-CDV-UL54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INT-CDV-UL54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290" w:hRule="atLeast"/>
        </w:trPr>
        <w:tc>
          <w:tcPr>
            <w:tcW w:w="14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Foscarnet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UL54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MUT-FOS-UL54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INT-FOS-UL54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290" w:hRule="atLeast"/>
        </w:trPr>
        <w:tc>
          <w:tcPr>
            <w:tcW w:w="1415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Maribavir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UL27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MUT-MBV-UL27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INT-MBV-UL27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290" w:hRule="atLeast"/>
        </w:trPr>
        <w:tc>
          <w:tcPr>
            <w:tcW w:w="1415" w:type="dxa"/>
            <w:vMerge w:val="continue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color w:val="000000"/>
                <w:kern w:val="0"/>
                <w:sz w:val="22"/>
                <w:szCs w:val="22"/>
                <w:lang w:val="fr-FR"/>
              </w:rPr>
            </w:r>
          </w:p>
        </w:tc>
        <w:tc>
          <w:tcPr>
            <w:tcW w:w="2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UL97</w:t>
            </w:r>
          </w:p>
        </w:tc>
        <w:tc>
          <w:tcPr>
            <w:tcW w:w="20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MUT-MBV-UL97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INT-MBV-UL97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319" w:hRule="atLeast"/>
        </w:trPr>
        <w:tc>
          <w:tcPr>
            <w:tcW w:w="1415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Letermovir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UL51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MUT-LMV-UL51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INT-LMV-UL51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290" w:hRule="atLeast"/>
        </w:trPr>
        <w:tc>
          <w:tcPr>
            <w:tcW w:w="1415" w:type="dxa"/>
            <w:vMerge w:val="continue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color w:val="000000"/>
                <w:kern w:val="0"/>
                <w:sz w:val="22"/>
                <w:szCs w:val="22"/>
                <w:lang w:val="fr-FR"/>
              </w:rPr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UL56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MUT-LMV-UL56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INT-LMV-UL56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  <w:tr>
        <w:trPr>
          <w:trHeight w:val="305" w:hRule="atLeast"/>
        </w:trPr>
        <w:tc>
          <w:tcPr>
            <w:tcW w:w="1415" w:type="dxa"/>
            <w:vMerge w:val="continue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color w:val="000000"/>
                <w:kern w:val="0"/>
                <w:sz w:val="22"/>
                <w:szCs w:val="22"/>
                <w:lang w:val="fr-FR"/>
              </w:rPr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UL89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MUT-LMV-UL89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  <w:r>
              <w:rPr>
                <w:b w:val="false"/>
                <w:i w:val="false"/>
                <w:strike w:val="false"/>
                <w:dstrike w:val="false"/>
                <w:sz w:val="18"/>
              </w:rPr>
              <w:t>INT-LMV-UL89</w:t>
            </w: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</w:t>
            </w:r>
          </w:p>
        </w:tc>
      </w:tr>
    </w:tbl>
    <w:p>
      <w:pPr>
        <w:pStyle w:val="Normal"/>
        <w:spacing w:before="320" w:after="120"/>
        <w:rPr/>
      </w:pPr>
      <w:r>
        <w:rPr>
          <w:b/>
          <w:i w:val="false"/>
          <w:strike w:val="false"/>
          <w:dstrike w:val="false"/>
          <w:color w:val="215E99"/>
          <w:sz w:val="28"/>
        </w:rPr>
        <w:t>Conclusion de l’analyse :</w:t>
      </w:r>
    </w:p>
    <w:p>
      <w:pPr>
        <w:pStyle w:val="Normal"/>
        <w:spacing w:before="0" w:after="120"/>
        <w:rPr/>
      </w:pPr>
      <w:r>
        <w:rPr>
          <w:b w:val="false"/>
          <w:i w:val="false"/>
          <w:strike w:val="false"/>
          <w:dstrike w:val="false"/>
          <w:sz w:val="20"/>
        </w:rPr>
        <w:t>_CONCLUSIONSDELANALYSE_</w:t>
      </w:r>
    </w:p>
    <w:p>
      <w:pPr>
        <w:pStyle w:val="Normal"/>
        <w:spacing w:before="320" w:after="120"/>
        <w:rPr/>
      </w:pPr>
      <w:r>
        <w:rPr>
          <w:b/>
          <w:i w:val="false"/>
          <w:strike w:val="false"/>
          <w:dstrike w:val="false"/>
          <w:color w:val="215E99"/>
          <w:sz w:val="28"/>
        </w:rPr>
        <w:t>Informations techniques</w:t>
      </w:r>
    </w:p>
    <w:tbl>
      <w:tblPr>
        <w:tblStyle w:val="Grilledutableau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49"/>
        <w:gridCol w:w="5922"/>
      </w:tblGrid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b/>
                <w:i w:val="false"/>
                <w:strike w:val="false"/>
                <w:dstrike w:val="false"/>
                <w:sz w:val="18"/>
                <w:szCs w:val="18"/>
              </w:rPr>
              <w:t>Numéro d’analyse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b w:val="false"/>
                <w:i w:val="false"/>
                <w:strike w:val="false"/>
                <w:dstrike w:val="false"/>
                <w:sz w:val="16"/>
                <w:szCs w:val="16"/>
              </w:rPr>
              <w:t>_NUMANALYSE_</w:t>
            </w:r>
          </w:p>
        </w:tc>
      </w:tr>
      <w:tr>
        <w:trPr/>
        <w:tc>
          <w:tcPr>
            <w:tcW w:w="3149" w:type="dxa"/>
            <w:tcBorders>
              <w:top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Souche de référence :</w:t>
            </w:r>
          </w:p>
        </w:tc>
        <w:tc>
          <w:tcPr>
            <w:tcW w:w="5922" w:type="dxa"/>
            <w:tcBorders>
              <w:top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_ACCESSIONNUMBER_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Version du logiciel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_VERSIONLOGICIEL_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Empreinte SHA-256 du conteneur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_EMPREINTE_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Empreinte SHA-256 de la base de données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_DBEMPREINTE_</w:t>
            </w:r>
          </w:p>
        </w:tc>
      </w:tr>
    </w:tbl>
    <w:p>
      <w:pPr>
        <w:pStyle w:val="Normal"/>
        <w:spacing w:before="120" w:after="0"/>
        <w:rPr/>
      </w:pPr>
      <w:r>
        <w:rPr>
          <w:b w:val="false"/>
          <w:i/>
          <w:strike w:val="false"/>
          <w:dstrike w:val="false"/>
          <w:sz w:val="16"/>
        </w:rPr>
        <w:t>Résultat non accrédité. Séquençage avec la technologie Oxford Nanopore à lectures longues. Séquençage comparé à une souche de référence connue susceptible.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>
        <w:rFonts w:ascii="Aptos Display" w:hAnsi="Aptos Display" w:cs="Aptos Display" w:asciiTheme="majorHAnsi" w:cstheme="majorHAnsi" w:hAnsiTheme="majorHAnsi"/>
        <w:lang w:val="fr-CH"/>
      </w:rPr>
    </w:pPr>
    <w:r>
      <w:rPr>
        <w:rFonts w:cs="Aptos Display" w:cstheme="majorHAnsi" w:ascii="Aptos Display" w:hAnsi="Aptos Display"/>
        <w:lang w:val="fr-CH"/>
      </w:rPr>
    </w:r>
  </w:p>
  <w:p>
    <w:pPr>
      <w:pStyle w:val="Pieddepage"/>
      <w:rPr>
        <w:lang w:val="fr-CH"/>
      </w:rPr>
    </w:pPr>
    <w:r>
      <w:rPr>
        <w:lang w:val="fr-CH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>
        <w:rFonts w:ascii="Aptos Display" w:hAnsi="Aptos Display" w:cs="Aptos Display" w:asciiTheme="majorHAnsi" w:cstheme="majorHAnsi" w:hAnsiTheme="majorHAnsi"/>
        <w:lang w:val="fr-CH"/>
      </w:rPr>
    </w:pPr>
    <w:r>
      <w:rPr>
        <w:rFonts w:cs="Aptos Display" w:cstheme="majorHAnsi" w:ascii="Aptos Display" w:hAnsi="Aptos Display"/>
        <w:lang w:val="fr-CH"/>
      </w:rPr>
    </w:r>
  </w:p>
  <w:p>
    <w:pPr>
      <w:pStyle w:val="Pieddepage"/>
      <w:rPr>
        <w:lang w:val="fr-CH"/>
      </w:rPr>
    </w:pPr>
    <w:r>
      <w:rPr>
        <w:lang w:val="fr-CH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ea5"/>
    <w:pPr>
      <w:widowControl/>
      <w:suppressAutoHyphens w:val="true"/>
      <w:bidi w:val="0"/>
      <w:spacing w:lineRule="auto" w:line="276" w:before="0" w:after="160"/>
      <w:jc w:val="left"/>
      <w:outlineLvl w:val="1"/>
    </w:pPr>
    <w:rPr>
      <w:rFonts w:ascii="Times New Roman" w:hAnsi="Times New Roman" w:eastAsia="Aptos" w:cs="Times New Roman"/>
      <w:color w:val="000000" w:themeColor="text1"/>
      <w:kern w:val="2"/>
      <w:sz w:val="20"/>
      <w:szCs w:val="20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244a41"/>
    <w:pPr>
      <w:keepNext w:val="true"/>
      <w:keepLines/>
      <w:spacing w:before="360" w:after="80"/>
      <w:jc w:val="center"/>
      <w:outlineLvl w:val="0"/>
    </w:pPr>
    <w:rPr>
      <w:rFonts w:eastAsia="" w:eastAsiaTheme="majorEastAsia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55c"/>
    <w:pPr>
      <w:spacing w:before="0" w:after="0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65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65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65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65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65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65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65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244a41"/>
    <w:rPr>
      <w:rFonts w:ascii="Times New Roman" w:hAnsi="Times New Roman" w:eastAsia="" w:cs="Times New Roman" w:eastAsiaTheme="majorEastAsia"/>
      <w:b/>
      <w:bCs/>
      <w:color w:val="000000" w:themeColor="text1"/>
      <w:sz w:val="28"/>
      <w:szCs w:val="28"/>
      <w:lang w:val="en-US"/>
    </w:rPr>
  </w:style>
  <w:style w:type="character" w:styleId="Titre2Car" w:customStyle="1">
    <w:name w:val="Titre 2 Car"/>
    <w:basedOn w:val="DefaultParagraphFont"/>
    <w:uiPriority w:val="9"/>
    <w:qFormat/>
    <w:rsid w:val="001c055c"/>
    <w:rPr>
      <w:rFonts w:ascii="Times New Roman" w:hAnsi="Times New Roman" w:cs="Times New Roman"/>
      <w:b/>
      <w:bCs/>
      <w:color w:val="000000" w:themeColor="text1"/>
      <w:sz w:val="22"/>
      <w:szCs w:val="22"/>
      <w:lang w:val="en-US"/>
    </w:rPr>
  </w:style>
  <w:style w:type="character" w:styleId="Titre3Car" w:customStyle="1">
    <w:name w:val="Titre 3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9016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90165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9016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0165c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901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6614"/>
    <w:rPr>
      <w:b/>
      <w:bCs/>
      <w:sz w:val="18"/>
      <w:szCs w:val="18"/>
    </w:rPr>
  </w:style>
  <w:style w:type="character" w:styleId="EntteCar" w:customStyle="1">
    <w:name w:val="En-têt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PieddepageCar" w:customStyle="1">
    <w:name w:val="Pied de pag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164bde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Caractresdenotedebasdepage" w:customStyle="1">
    <w:name w:val="Caractères de note de bas de page"/>
    <w:basedOn w:val="DefaultParagraphFont"/>
    <w:uiPriority w:val="99"/>
    <w:semiHidden/>
    <w:unhideWhenUsed/>
    <w:qFormat/>
    <w:rsid w:val="00164bde"/>
    <w:rPr>
      <w:vertAlign w:val="superscript"/>
    </w:rPr>
  </w:style>
  <w:style w:type="character" w:styleId="Ancredenotedebasdepage" w:customStyle="1">
    <w:name w:val="Ancre de note de bas de page"/>
    <w:rPr>
      <w:vertAlign w:val="superscript"/>
    </w:rPr>
  </w:style>
  <w:style w:type="character" w:styleId="Ancredenotedefin" w:customStyle="1">
    <w:name w:val="Ancre de note de fin"/>
    <w:rPr>
      <w:vertAlign w:val="superscript"/>
    </w:rPr>
  </w:style>
  <w:style w:type="character" w:styleId="Caractresdenotedefin" w:customStyle="1">
    <w:name w:val="Caractères de note de fin"/>
    <w:qFormat/>
    <w:rPr/>
  </w:style>
  <w:style w:type="character" w:styleId="Textesource" w:customStyle="1">
    <w:name w:val="Texte source"/>
    <w:qFormat/>
    <w:rPr>
      <w:rFonts w:ascii="Liberation Mono" w:hAnsi="Liberation Mono" w:eastAsia="Liberation Mono" w:cs="Liberation Mono"/>
    </w:rPr>
  </w:style>
  <w:style w:type="character" w:styleId="Accentuationforte" w:customStyle="1">
    <w:name w:val="Accentuation forte"/>
    <w:qFormat/>
    <w:rPr>
      <w:b/>
      <w:bCs/>
    </w:rPr>
  </w:style>
  <w:style w:type="character" w:styleId="Caractresdenumrotation" w:customStyle="1">
    <w:name w:val="Caractères de numérotation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ed67d0"/>
    <w:rPr>
      <w:sz w:val="16"/>
      <w:szCs w:val="16"/>
    </w:rPr>
  </w:style>
  <w:style w:type="character" w:styleId="CommentaireCar" w:customStyle="1">
    <w:name w:val="Commentaire Car"/>
    <w:basedOn w:val="DefaultParagraphFont"/>
    <w:link w:val="Annotationtext"/>
    <w:uiPriority w:val="99"/>
    <w:qFormat/>
    <w:rsid w:val="00ed67d0"/>
    <w:rPr>
      <w:rFonts w:ascii="Times New Roman" w:hAnsi="Times New Roman" w:eastAsia="Aptos" w:cs="Times New Roman"/>
      <w:color w:val="000000" w:themeColor="text1"/>
      <w:sz w:val="20"/>
      <w:szCs w:val="20"/>
      <w:lang w:val="en-US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ed67d0"/>
    <w:rPr>
      <w:rFonts w:ascii="Times New Roman" w:hAnsi="Times New Roman" w:eastAsia="Aptos" w:cs="Times New Roman"/>
      <w:b/>
      <w:bCs/>
      <w:color w:val="000000" w:themeColor="text1"/>
      <w:sz w:val="20"/>
      <w:szCs w:val="20"/>
      <w:lang w:val="en-US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Corpsdetexte"/>
    <w:link w:val="TitreCar"/>
    <w:uiPriority w:val="10"/>
    <w:qFormat/>
    <w:rsid w:val="0090165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oustitre">
    <w:name w:val="Subtitle"/>
    <w:basedOn w:val="Normal"/>
    <w:next w:val="Normal"/>
    <w:link w:val="SoustitreCar"/>
    <w:uiPriority w:val="11"/>
    <w:qFormat/>
    <w:rsid w:val="0090165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90165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5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90165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Entteetpieddepage" w:customStyle="1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64bde"/>
    <w:pPr>
      <w:spacing w:lineRule="auto" w:line="240" w:before="0" w:after="0"/>
    </w:pPr>
    <w:rPr/>
  </w:style>
  <w:style w:type="paragraph" w:styleId="Contenudecadre" w:customStyle="1">
    <w:name w:val="Contenu de cadre"/>
    <w:basedOn w:val="Normal"/>
    <w:qFormat/>
    <w:pPr/>
    <w:rPr/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Annotationtext">
    <w:name w:val="annotation text"/>
    <w:basedOn w:val="Normal"/>
    <w:link w:val="CommentaireCar"/>
    <w:uiPriority w:val="99"/>
    <w:unhideWhenUsed/>
    <w:qFormat/>
    <w:rsid w:val="00ed67d0"/>
    <w:pPr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ed67d0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74e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">
    <w:name w:val="Grid Table 4"/>
    <w:basedOn w:val="TableauNormal"/>
    <w:uiPriority w:val="49"/>
    <w:rsid w:val="00f66fe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66a4d"/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3-Accentuation5">
    <w:name w:val="Grid Table 3 Accent 5"/>
    <w:basedOn w:val="TableauNormal"/>
    <w:uiPriority w:val="48"/>
    <w:rsid w:val="001b55bb"/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styleId="Tableausimple1">
    <w:name w:val="Plain Table 1"/>
    <w:basedOn w:val="TableauNormal"/>
    <w:uiPriority w:val="41"/>
    <w:rsid w:val="001b55bb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6">
    <w:name w:val="Grid Table 3 Accent 6"/>
    <w:basedOn w:val="TableauNormal"/>
    <w:uiPriority w:val="48"/>
    <w:rsid w:val="00a66a4d"/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styleId="TableauGrille5Fonc">
    <w:name w:val="Grid Table 5 Dark"/>
    <w:basedOn w:val="TableauNormal"/>
    <w:uiPriority w:val="50"/>
    <w:rsid w:val="00a66a4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StyleTableauRes">
    <w:name w:val="StyleTableauRes"/>
    <w:basedOn w:val="Grilledutableau"/>
    <w:uiPriority w:val="99"/>
    <w:rsid w:val="005377b4"/>
    <w:rPr>
      <w:color w:val="000000" w:themeColor="text1"/>
      <w:sz w:val="18"/>
    </w:rPr>
    <w:tblStylePr w:type="firstRow">
      <w:rPr>
        <w:b/>
        <w:i w:val="0"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Liste4">
    <w:name w:val="List Table 4"/>
    <w:basedOn w:val="TableauNormal"/>
    <w:uiPriority w:val="49"/>
    <w:rsid w:val="00fd69d4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auRes1">
    <w:name w:val="StyleTableauRes1"/>
    <w:basedOn w:val="Grilledutableau"/>
    <w:uiPriority w:val="99"/>
    <w:rsid w:val="007727e5"/>
    <w:rPr>
      <w:color w:val="000000" w:themeColor="text1"/>
      <w:sz w:val="18"/>
    </w:rPr>
    <w:tblStylePr w:type="firstRow">
      <w:rPr>
        <w:b/>
        <w:i w:val="0"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Application>LibreOffice/7.3.7.2$Linux_X86_64 LibreOffice_project/30$Build-2</Application>
  <AppVersion>15.0000</AppVersion>
  <Pages>1</Pages>
  <Words>142</Words>
  <Characters>1039</Characters>
  <CharactersWithSpaces>1117</CharactersWithSpaces>
  <Paragraphs>66</Paragraphs>
  <Company>Hôpitaux Universitaires de Genève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2024-03-19T16:33:00Z</dcterms:created>
  <dc:creator>Hgene</dc:creator>
  <dc:description/>
  <dc:language>es-SV</dc:language>
  <cp:lastModifiedBy/>
  <dcterms:modified xsi:type="dcterms:W3CDTF">2026-10-07T11:11:07Z</dcterms:modified>
  <cp:revision>231</cp:revision>
  <dc:subject/>
  <dc:title>Template d'interprétation de la résistance aux antiviraux (CMV)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