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keepNext w:val="true"/>
        <w:spacing w:before="360" w:after="280"/>
        <w:jc w:val="center"/>
        <w:rPr>
          <w:lang w:val="fr-FR"/>
        </w:rPr>
      </w:pPr>
      <w:r>
        <w:rPr>
          <w:b/>
          <w:i w:val="false"/>
          <w:strike w:val="false"/>
          <w:dstrike w:val="false"/>
          <w:color w:val="215E99"/>
          <w:sz w:val="32"/>
        </w:rPr>
        <w:t>Interprétation de mutations génotypiques pour</w:t>
        <w:br/>
        <w:t>la résistance aux antiviraux (CMV)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3"/>
        <w:gridCol w:w="2858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Date du prélèvement 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_DATEPREL_</w:t>
            </w:r>
          </w:p>
        </w:tc>
        <w:tc>
          <w:tcPr>
            <w:tcW w:w="1843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Numéro de tube :</w:t>
            </w:r>
          </w:p>
        </w:tc>
        <w:tc>
          <w:tcPr>
            <w:tcW w:w="2858" w:type="dxa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_IDTUBE_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Nom Prénom 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_IDPATIENT_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Matériel :</w:t>
            </w:r>
          </w:p>
        </w:tc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_MATERIEL_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Base de données de résistance 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_DATABASE_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20"/>
              </w:rPr>
              <w:t>Numéro d’analyse :</w:t>
            </w:r>
          </w:p>
        </w:tc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_NUMANALYSE_</w:t>
            </w:r>
          </w:p>
        </w:tc>
      </w:tr>
    </w:tbl>
    <w:tbl>
      <w:tblPr>
        <w:tblW w:w="9024" w:type="dxa"/>
        <w:jc w:val="left"/>
        <w:tblInd w:w="8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000" w:noHBand="0" w:noVBand="0" w:firstColumn="0" w:lastRow="0" w:lastColumn="0" w:firstRow="0"/>
      </w:tblPr>
      <w:tblGrid>
        <w:gridCol w:w="1416"/>
        <w:gridCol w:w="2268"/>
        <w:gridCol w:w="2040"/>
        <w:gridCol w:w="3300"/>
      </w:tblGrid>
      <w:tr>
        <w:trPr>
          <w:trHeight w:val="406" w:hRule="atLeast"/>
        </w:trPr>
        <w:tc>
          <w:tcPr>
            <w:tcW w:w="902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C0C0C0" w:fill="auto" w:val="solid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b/>
                <w:b/>
                <w:bCs/>
                <w:color w:val="000000"/>
                <w:kern w:val="0"/>
                <w:sz w:val="32"/>
                <w:szCs w:val="3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32"/>
                <w:szCs w:val="32"/>
                <w:lang w:val="fr-FR"/>
              </w:rPr>
              <w:t>Interprétation de la résistance</w:t>
            </w:r>
          </w:p>
        </w:tc>
      </w:tr>
      <w:tr>
        <w:trPr>
          <w:trHeight w:val="1010" w:hRule="atLeast"/>
        </w:trPr>
        <w:tc>
          <w:tcPr>
            <w:tcW w:w="1416" w:type="dxa"/>
            <w:tcBorders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Antiviral</w:t>
            </w:r>
          </w:p>
        </w:tc>
        <w:tc>
          <w:tcPr>
            <w:tcW w:w="2268" w:type="dxa"/>
            <w:tcBorders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 xml:space="preserve">Gènes impliqués dans la 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résistance</w:t>
            </w:r>
          </w:p>
        </w:tc>
        <w:tc>
          <w:tcPr>
            <w:tcW w:w="2040" w:type="dxa"/>
            <w:tcBorders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b/>
                <w:b/>
                <w:bCs/>
                <w:color w:val="000000"/>
                <w:kern w:val="0"/>
                <w:sz w:val="22"/>
                <w:szCs w:val="22"/>
                <w:lang w:val="fr-FR"/>
              </w:rPr>
            </w:pPr>
            <w:r>
              <w:rPr/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22"/>
                <w:szCs w:val="22"/>
                <w:lang w:val="fr-FR"/>
              </w:rPr>
              <w:t xml:space="preserve">Mutation de 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22"/>
                <w:szCs w:val="22"/>
                <w:lang w:val="fr-FR"/>
              </w:rPr>
              <w:t>résistance</w:t>
            </w:r>
          </w:p>
        </w:tc>
        <w:tc>
          <w:tcPr>
            <w:tcW w:w="3300" w:type="dxa"/>
            <w:tcBorders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b/>
                <w:b/>
                <w:bCs/>
                <w:color w:val="000000"/>
                <w:kern w:val="0"/>
                <w:sz w:val="22"/>
                <w:szCs w:val="22"/>
                <w:lang w:val="fr-FR"/>
              </w:rPr>
            </w:pPr>
            <w:r>
              <w:rPr/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/>
            </w:pPr>
            <w:r>
              <w:rPr>
                <w:rFonts w:eastAsia="Aptos" w:cs="Aptos Narrow" w:ascii="Aptos Narrow" w:hAnsi="Aptos Narrow" w:eastAsiaTheme="minorHAnsi"/>
                <w:b/>
                <w:bCs/>
                <w:color w:val="000000"/>
                <w:kern w:val="0"/>
                <w:sz w:val="22"/>
                <w:szCs w:val="22"/>
                <w:lang w:val="fr-FR"/>
              </w:rPr>
              <w:t>Interprétation</w:t>
            </w:r>
          </w:p>
        </w:tc>
      </w:tr>
      <w:tr>
        <w:trPr>
          <w:trHeight w:val="290" w:hRule="atLeast"/>
        </w:trPr>
        <w:tc>
          <w:tcPr>
            <w:tcW w:w="141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Ganciclovir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UL54</w:t>
            </w:r>
          </w:p>
        </w:tc>
        <w:tc>
          <w:tcPr>
            <w:tcW w:w="204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MUT-GCV-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UL54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INT-GCV-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UL54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290" w:hRule="atLeast"/>
        </w:trPr>
        <w:tc>
          <w:tcPr>
            <w:tcW w:w="1416" w:type="dxa"/>
            <w:vMerge w:val="continue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color w:val="000000"/>
                <w:kern w:val="0"/>
                <w:sz w:val="22"/>
                <w:szCs w:val="22"/>
                <w:lang w:val="fr-FR"/>
              </w:rPr>
            </w:r>
          </w:p>
        </w:tc>
        <w:tc>
          <w:tcPr>
            <w:tcW w:w="22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UL97</w:t>
            </w:r>
          </w:p>
        </w:tc>
        <w:tc>
          <w:tcPr>
            <w:tcW w:w="20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MUT-GCV-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UL97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INT-GCV-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UL97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290" w:hRule="atLeast"/>
        </w:trPr>
        <w:tc>
          <w:tcPr>
            <w:tcW w:w="141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Cidofovir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UL54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MUT-CDV-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UL54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INT-CDV-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UL54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290" w:hRule="atLeast"/>
        </w:trPr>
        <w:tc>
          <w:tcPr>
            <w:tcW w:w="141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Foscarnet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UL54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MUT-FOS-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UL54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INT-FOS-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UL54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290" w:hRule="atLeast"/>
        </w:trPr>
        <w:tc>
          <w:tcPr>
            <w:tcW w:w="1416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Maribavir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UL27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MUT-MBV-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UL27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INT-MBV-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UL27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290" w:hRule="atLeast"/>
        </w:trPr>
        <w:tc>
          <w:tcPr>
            <w:tcW w:w="1416" w:type="dxa"/>
            <w:vMerge w:val="continue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color w:val="000000"/>
                <w:kern w:val="0"/>
                <w:sz w:val="22"/>
                <w:szCs w:val="22"/>
                <w:lang w:val="fr-FR"/>
              </w:rPr>
            </w:r>
          </w:p>
        </w:tc>
        <w:tc>
          <w:tcPr>
            <w:tcW w:w="22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UL97</w:t>
            </w:r>
          </w:p>
        </w:tc>
        <w:tc>
          <w:tcPr>
            <w:tcW w:w="20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MUT-MBV-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UL97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INT-MBV-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UL97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319" w:hRule="atLeast"/>
        </w:trPr>
        <w:tc>
          <w:tcPr>
            <w:tcW w:w="1416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Letermovir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UL51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MUT-LMV-UL51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INT-LMV-UL51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290" w:hRule="atLeast"/>
        </w:trPr>
        <w:tc>
          <w:tcPr>
            <w:tcW w:w="1416" w:type="dxa"/>
            <w:vMerge w:val="continue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color w:val="000000"/>
                <w:kern w:val="0"/>
                <w:sz w:val="22"/>
                <w:szCs w:val="22"/>
                <w:lang w:val="fr-FR"/>
              </w:rPr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UL56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MUT-LMV-UL56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INT-LMV-UL56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  <w:tr>
        <w:trPr>
          <w:trHeight w:val="305" w:hRule="atLeast"/>
        </w:trPr>
        <w:tc>
          <w:tcPr>
            <w:tcW w:w="1416" w:type="dxa"/>
            <w:vMerge w:val="continue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eastAsiaTheme="minorHAnsi" w:ascii="Aptos Narrow" w:hAnsi="Aptos Narrow"/>
                <w:color w:val="000000"/>
                <w:kern w:val="0"/>
                <w:sz w:val="22"/>
                <w:szCs w:val="22"/>
                <w:lang w:val="fr-FR"/>
              </w:rPr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false"/>
              <w:spacing w:lineRule="auto" w:line="240" w:before="0" w:after="0"/>
              <w:jc w:val="center"/>
              <w:outlineLvl w:val="9"/>
              <w:rPr>
                <w:rFonts w:ascii="Aptos Narrow" w:hAnsi="Aptos Narrow" w:eastAsia="Aptos" w:cs="Aptos Narrow" w:eastAsiaTheme="minorHAnsi"/>
                <w:color w:val="000000"/>
                <w:kern w:val="0"/>
                <w:sz w:val="22"/>
                <w:szCs w:val="22"/>
                <w:lang w:val="fr-FR"/>
              </w:rPr>
            </w:pPr>
            <w:r>
              <w:rPr>
                <w:rFonts w:eastAsia="Aptos" w:cs="Aptos Narrow" w:ascii="Aptos Narrow" w:hAnsi="Aptos Narrow" w:eastAsiaTheme="minorHAnsi"/>
                <w:strike w:val="false"/>
                <w:dstrike w:val="false"/>
                <w:color w:val="000000"/>
                <w:kern w:val="0"/>
                <w:sz w:val="22"/>
                <w:szCs w:val="22"/>
                <w:lang w:val="fr-FR"/>
              </w:rPr>
              <w:t>UL89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MUT-LMV-UL89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/>
            </w:pP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  <w:r>
              <w:rPr>
                <w:b w:val="false"/>
                <w:i w:val="false"/>
                <w:strike w:val="false"/>
                <w:dstrike w:val="false"/>
                <w:sz w:val="18"/>
              </w:rPr>
              <w:t>INT-LMV-UL89</w:t>
            </w:r>
            <w:r>
              <w:rPr>
                <w:b w:val="false"/>
                <w:i w:val="false"/>
                <w:strike w:val="false"/>
                <w:dstrike w:val="false"/>
                <w:sz w:val="20"/>
              </w:rPr>
              <w:t>_</w:t>
            </w:r>
          </w:p>
        </w:tc>
      </w:tr>
    </w:tbl>
    <w:p>
      <w:pPr>
        <w:pStyle w:val="Normal"/>
        <w:keepNext w:val="true"/>
        <w:spacing w:before="320" w:after="120"/>
        <w:rPr/>
      </w:pPr>
      <w:r>
        <w:rPr>
          <w:b/>
          <w:i w:val="false"/>
          <w:strike w:val="false"/>
          <w:dstrike w:val="false"/>
          <w:color w:val="215E99"/>
          <w:sz w:val="28"/>
        </w:rPr>
        <w:t>Conclusion de l’analyse :</w:t>
      </w:r>
    </w:p>
    <w:p>
      <w:pPr>
        <w:pStyle w:val="Normal"/>
        <w:spacing w:before="0" w:after="120"/>
        <w:rPr/>
      </w:pPr>
      <w:r>
        <w:rPr>
          <w:b w:val="false"/>
          <w:i w:val="false"/>
          <w:strike w:val="false"/>
          <w:dstrike w:val="false"/>
          <w:sz w:val="20"/>
        </w:rPr>
        <w:t>_CONCLUSIONSDELANALYSE_</w:t>
      </w:r>
    </w:p>
    <w:p>
      <w:pPr>
        <w:pStyle w:val="Normal"/>
        <w:keepNext w:val="true"/>
        <w:spacing w:before="320" w:after="120"/>
        <w:rPr/>
      </w:pPr>
      <w:r>
        <w:rPr>
          <w:b/>
          <w:i w:val="false"/>
          <w:strike w:val="false"/>
          <w:dstrike w:val="false"/>
          <w:color w:val="215E99"/>
          <w:sz w:val="28"/>
        </w:rPr>
        <w:t>Informations techniques</w:t>
      </w:r>
    </w:p>
    <w:tbl>
      <w:tblPr>
        <w:tblStyle w:val="Grilledutableau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49"/>
        <w:gridCol w:w="5922"/>
      </w:tblGrid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Souche de référence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_ACCESSIONNUMBER_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Version du logiciel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_VERSIONLOGICIEL_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Empreinte SHA-256 du conteneur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_EMPREINTE_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/>
                <w:i w:val="false"/>
                <w:strike w:val="false"/>
                <w:dstrike w:val="false"/>
                <w:sz w:val="18"/>
              </w:rPr>
              <w:t>Empreinte SHA-256 de la base de données :</w:t>
            </w:r>
          </w:p>
        </w:tc>
        <w:tc>
          <w:tcPr>
            <w:tcW w:w="5922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b w:val="false"/>
                <w:i w:val="false"/>
                <w:strike w:val="false"/>
                <w:dstrike w:val="false"/>
                <w:sz w:val="16"/>
              </w:rPr>
              <w:t>_DBEMPREINTE_</w:t>
            </w:r>
          </w:p>
        </w:tc>
      </w:tr>
    </w:tbl>
    <w:p>
      <w:pPr>
        <w:pStyle w:val="Normal"/>
        <w:spacing w:before="120" w:after="0"/>
        <w:rPr/>
      </w:pPr>
      <w:r>
        <w:rPr>
          <w:b w:val="false"/>
          <w:i/>
          <w:strike w:val="false"/>
          <w:dstrike w:val="false"/>
          <w:sz w:val="16"/>
        </w:rPr>
        <w:t>Résultat non accrédité. Séquençage avec la technologie Oxford Nanopore à lectures longues. Séquençage comparé à une souche de référence connue susceptible.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ptos Narro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rFonts w:ascii="Aptos Display" w:hAnsi="Aptos Display" w:cs="Aptos Display" w:asciiTheme="majorHAnsi" w:cstheme="majorHAnsi" w:hAnsiTheme="majorHAnsi"/>
        <w:lang w:val="fr-CH"/>
      </w:rPr>
    </w:pPr>
    <w:r>
      <w:rPr>
        <w:rFonts w:cs="Aptos Display" w:cstheme="majorHAnsi" w:ascii="Aptos Display" w:hAnsi="Aptos Display"/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rFonts w:ascii="Aptos Display" w:hAnsi="Aptos Display" w:cs="Aptos Display" w:asciiTheme="majorHAnsi" w:cstheme="majorHAnsi" w:hAnsiTheme="majorHAnsi"/>
        <w:lang w:val="fr-CH"/>
      </w:rPr>
    </w:pPr>
    <w:r>
      <w:rPr>
        <w:rFonts w:cs="Aptos Display" w:cstheme="majorHAnsi" w:ascii="Aptos Display" w:hAnsi="Aptos Display"/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 w:customStyle="1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 w:customStyle="1">
    <w:name w:val="Ancre de note de bas de page"/>
    <w:rPr>
      <w:vertAlign w:val="superscript"/>
    </w:rPr>
  </w:style>
  <w:style w:type="character" w:styleId="Ancredenotedefin" w:customStyle="1">
    <w:name w:val="Ancre de note de fin"/>
    <w:rPr>
      <w:vertAlign w:val="superscript"/>
    </w:rPr>
  </w:style>
  <w:style w:type="character" w:styleId="Caractresdenotedefin" w:customStyle="1">
    <w:name w:val="Caractères de note de fin"/>
    <w:qFormat/>
    <w:rPr/>
  </w:style>
  <w:style w:type="character" w:styleId="Textesource" w:customStyle="1">
    <w:name w:val="Texte source"/>
    <w:qFormat/>
    <w:rPr>
      <w:rFonts w:ascii="Liberation Mono" w:hAnsi="Liberation Mono" w:eastAsia="Liberation Mono" w:cs="Liberation Mono"/>
    </w:rPr>
  </w:style>
  <w:style w:type="character" w:styleId="Accentuationforte" w:customStyle="1">
    <w:name w:val="Accentuation forte"/>
    <w:qFormat/>
    <w:rPr>
      <w:b/>
      <w:bCs/>
    </w:rPr>
  </w:style>
  <w:style w:type="character" w:styleId="Caractresdenumrotation" w:customStyle="1">
    <w:name w:val="Caractères de numérotation"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ed67d0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qFormat/>
    <w:rsid w:val="00ed67d0"/>
    <w:rPr>
      <w:rFonts w:ascii="Times New Roman" w:hAnsi="Times New Roman" w:eastAsia="Aptos" w:cs="Times New Roman"/>
      <w:color w:val="000000" w:themeColor="text1"/>
      <w:sz w:val="20"/>
      <w:szCs w:val="20"/>
      <w:lang w:val="en-US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ed67d0"/>
    <w:rPr>
      <w:rFonts w:ascii="Times New Roman" w:hAnsi="Times New Roman" w:eastAsia="Aptos" w:cs="Times New Roman"/>
      <w:b/>
      <w:bCs/>
      <w:color w:val="000000" w:themeColor="text1"/>
      <w:sz w:val="20"/>
      <w:szCs w:val="20"/>
      <w:lang w:val="en-US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 w:customStyle="1">
    <w:name w:val="Contenu de cadre"/>
    <w:basedOn w:val="Normal"/>
    <w:qFormat/>
    <w:pPr/>
    <w:rPr/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Annotationtext">
    <w:name w:val="annotation text"/>
    <w:basedOn w:val="Normal"/>
    <w:link w:val="CommentaireCar"/>
    <w:uiPriority w:val="99"/>
    <w:unhideWhenUsed/>
    <w:qFormat/>
    <w:rsid w:val="00ed67d0"/>
    <w:pPr>
      <w:spacing w:lineRule="auto" w:line="240"/>
    </w:pPr>
    <w:rPr/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ed67d0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A02B93" w:themeColor="accent5" w:sz="4" w:space="0"/>
        </w:tcBorders>
      </w:tcPr>
    </w:tblStylePr>
    <w:tblStylePr w:type="nwCell">
      <w:tblPr/>
      <w:tcPr>
        <w:tcBorders>
          <w:bottom w:val="single" w:color="A02B93" w:themeColor="accent5" w:sz="4" w:space="0"/>
        </w:tcBorders>
      </w:tcPr>
    </w:tblStylePr>
    <w:tblStylePr w:type="seCell">
      <w:tblPr/>
      <w:tcPr>
        <w:tcBorders>
          <w:top w:val="single" w:color="A02B93" w:themeColor="accent5" w:sz="4" w:space="0"/>
        </w:tcBorders>
      </w:tcPr>
    </w:tblStylePr>
    <w:tblStylePr w:type="swCell">
      <w:tblPr/>
      <w:tcPr>
        <w:tcBorders>
          <w:top w:val="single" w:color="A02B93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4EA72E" w:themeColor="accent6" w:sz="4" w:space="0"/>
        </w:tcBorders>
      </w:tcPr>
    </w:tblStylePr>
    <w:tblStylePr w:type="nwCell">
      <w:tblPr/>
      <w:tcPr>
        <w:tcBorders>
          <w:bottom w:val="single" w:color="4EA72E" w:themeColor="accent6" w:sz="4" w:space="0"/>
        </w:tcBorders>
      </w:tcPr>
    </w:tblStylePr>
    <w:tblStylePr w:type="seCell">
      <w:tblPr/>
      <w:tcPr>
        <w:tcBorders>
          <w:top w:val="single" w:color="4EA72E" w:themeColor="accent6" w:sz="4" w:space="0"/>
        </w:tcBorders>
      </w:tcPr>
    </w:tblStylePr>
    <w:tblStylePr w:type="swCell">
      <w:tblPr/>
      <w:tcPr>
        <w:tcBorders>
          <w:top w:val="single" w:color="4EA72E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StyleTableauRes1">
    <w:name w:val="StyleTableauRes1"/>
    <w:basedOn w:val="Grilledutableau"/>
    <w:uiPriority w:val="99"/>
    <w:rsid w:val="007727e5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Application>LibreOffice/7.3.7.2$Linux_X86_64 LibreOffice_project/30$Build-2</Application>
  <AppVersion>15.0000</AppVersion>
  <Pages>1</Pages>
  <Words>137</Words>
  <Characters>1019</Characters>
  <CharactersWithSpaces>1094</CharactersWithSpaces>
  <Paragraphs>64</Paragraphs>
  <Company>Hôpitaux Universitaires de Genève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Hgene</dc:creator>
  <dc:description/>
  <dc:language>es-SV</dc:language>
  <cp:lastModifiedBy/>
  <dcterms:modified xsi:type="dcterms:W3CDTF">2026-08-10T14:45:14Z</dcterms:modified>
  <cp:revision>229</cp:revision>
  <dc:subject/>
  <dc:title>Template d'interprétation de la résistance aux antiviraux (CMV)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