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(HSV-1)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  <w:tr>
        <w:trPr>
          <w:trHeight w:val="495" w:hRule="atLeast"/>
        </w:trPr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lang w:val="fr-CH"/>
              </w:rPr>
              <w:t>Empreinte cryptographique (SHA-256) du conteneur :</w:t>
            </w:r>
          </w:p>
        </w:tc>
        <w:tc>
          <w:tcPr>
            <w:tcW w:w="666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lwgTypewriter" w:hAnsi="TlwgTypewriter"/>
                <w:color w:val="000000"/>
                <w:sz w:val="16"/>
                <w:szCs w:val="16"/>
              </w:rPr>
            </w:pPr>
            <w:r>
              <w:rPr>
                <w:rFonts w:ascii="TlwgTypewriter" w:hAnsi="TlwgTypewriter"/>
                <w:b w:val="false"/>
                <w:i w:val="false"/>
                <w:color w:val="000000"/>
                <w:sz w:val="16"/>
                <w:szCs w:val="16"/>
              </w:rPr>
              <w:t>_EMPREINTE_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UL23</w:t>
      </w:r>
      <w:bookmarkStart w:id="0" w:name="_Ref170228463"/>
      <w:bookmarkStart w:id="1" w:name="_Ref170228208"/>
      <w:bookmarkEnd w:id="0"/>
      <w:bookmarkEnd w:id="1"/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RES-UL23-HHV1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UL30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RES-UL30-HHV1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lwgTypewriter">
    <w:charset w:val="0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>Séquençage comparé à la souche de référence connu susceptible.</w:t>
      </w:r>
    </w:p>
    <w:p>
      <w:pPr>
        <w:pStyle w:val="Notedebasdepage"/>
        <w:rPr>
          <w:lang w:val="fr-CH"/>
        </w:rPr>
      </w:pPr>
      <w:r>
        <w:rPr>
          <w:lang w:val="fr-FR" w:eastAsia="en-US" w:bidi="ar-SA"/>
        </w:rPr>
        <w:t>* Ce symbole représente la formation d’un codon d’arrêt prématuré de la traduction.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Application>LibreOffice/7.3.7.2$Linux_X86_64 LibreOffice_project/30$Build-2</Application>
  <AppVersion>15.0000</AppVersion>
  <Pages>1</Pages>
  <Words>78</Words>
  <Characters>532</Characters>
  <CharactersWithSpaces>591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2026-02-18T13:01:03Z</dcterms:modified>
  <cp:revision>225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