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(CMV)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  <w:tr>
        <w:trPr>
          <w:trHeight w:val="495" w:hRule="atLeast"/>
        </w:trPr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lang w:val="fr-CH"/>
              </w:rPr>
              <w:t>Empreinte cryptographique (SHA-256) du conteneur :</w:t>
            </w:r>
          </w:p>
        </w:tc>
        <w:tc>
          <w:tcPr>
            <w:tcW w:w="666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lwgTypewriter" w:hAnsi="TlwgTypewriter"/>
                <w:color w:val="000000"/>
                <w:sz w:val="16"/>
                <w:szCs w:val="16"/>
              </w:rPr>
            </w:pPr>
            <w:r>
              <w:rPr>
                <w:rFonts w:ascii="TlwgTypewriter" w:hAnsi="TlwgTypewriter"/>
                <w:b w:val="false"/>
                <w:i w:val="false"/>
                <w:color w:val="000000"/>
                <w:sz w:val="16"/>
                <w:szCs w:val="16"/>
              </w:rPr>
              <w:t>_EMPREINTE_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0" w:name="_Ref170228463"/>
      <w:bookmarkStart w:id="1" w:name="_Ref170228208"/>
      <w:bookmarkEnd w:id="0"/>
      <w:bookmarkEnd w:id="1"/>
      <w:r>
        <w:rPr>
          <w:color w:val="215E99" w:themeColor="text2" w:themeTint="bf"/>
          <w:sz w:val="28"/>
          <w:szCs w:val="28"/>
          <w:lang w:val="fr-CH"/>
        </w:rPr>
        <w:t>27</w:t>
      </w:r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RES-UL27-HHV5</w:t>
      </w:r>
    </w:p>
    <w:p>
      <w:pPr>
        <w:pStyle w:val="Titre2"/>
        <w:rPr>
          <w:lang w:val="fr-CH"/>
        </w:rPr>
      </w:pPr>
      <w:r>
        <w:rPr/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2" w:name="_Ref17022820811"/>
      <w:bookmarkStart w:id="3" w:name="_Ref17022846311"/>
      <w:bookmarkEnd w:id="2"/>
      <w:bookmarkEnd w:id="3"/>
      <w:r>
        <w:rPr>
          <w:color w:val="215E99" w:themeColor="text2" w:themeTint="bf"/>
          <w:sz w:val="28"/>
          <w:szCs w:val="28"/>
          <w:lang w:val="fr-CH"/>
        </w:rPr>
        <w:t>51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RES-UL51-HHV5</w:t>
      </w:r>
    </w:p>
    <w:p>
      <w:pPr>
        <w:pStyle w:val="Titre2"/>
        <w:rPr>
          <w:lang w:val="fr-CH"/>
        </w:rPr>
      </w:pPr>
      <w:r>
        <w:rPr/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4" w:name="_Ref1702282081"/>
      <w:bookmarkStart w:id="5" w:name="_Ref1702284631"/>
      <w:bookmarkEnd w:id="4"/>
      <w:bookmarkEnd w:id="5"/>
      <w:r>
        <w:rPr>
          <w:color w:val="215E99" w:themeColor="text2" w:themeTint="bf"/>
          <w:sz w:val="28"/>
          <w:szCs w:val="28"/>
          <w:lang w:val="fr-CH"/>
        </w:rPr>
        <w:t>54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RES-UL54-HHV5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UL56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RES-UL56-HHV5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RES-UL89-HHV5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UL97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RES-UL97-HHV5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lwgTypewriter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 xml:space="preserve"> </w:t>
      </w:r>
      <w:r>
        <w:rPr>
          <w:lang w:val="fr-CH"/>
        </w:rPr>
        <w:t xml:space="preserve">Résultat non accrédité. Séquençage avec la technologie Oxford Nanopore à lectures longues. Séquençage comparé à la souche de référence connu susceptible. </w:t>
      </w:r>
    </w:p>
    <w:p>
      <w:pPr>
        <w:pStyle w:val="Notedebasdepage"/>
        <w:rPr>
          <w:lang w:val="fr-CH"/>
        </w:rPr>
      </w:pPr>
      <w:r>
        <w:rPr>
          <w:lang w:val="fr-CH"/>
        </w:rPr>
        <w:t>* Ce symbole représente la formation d’un codon d’arrêt prématuré de la traduction.</w:t>
      </w:r>
    </w:p>
    <w:p>
      <w:pPr>
        <w:pStyle w:val="Notedebasdepage"/>
        <w:rPr>
          <w:lang w:val="fr-CH"/>
        </w:rPr>
      </w:pPr>
      <w:r>
        <w:rP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Application>LibreOffice/7.3.7.2$Linux_X86_64 LibreOffice_project/30$Build-2</Application>
  <AppVersion>15.0000</AppVersion>
  <Pages>1</Pages>
  <Words>118</Words>
  <Characters>785</Characters>
  <CharactersWithSpaces>882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2026-03-11T11:47:59Z</dcterms:modified>
  <cp:revision>229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