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67FA" w14:textId="13B34427" w:rsidR="00436017" w:rsidRDefault="00544BC9" w:rsidP="00544BC9">
      <w:pPr>
        <w:pStyle w:val="Titre"/>
        <w:jc w:val="center"/>
      </w:pPr>
      <w:r>
        <w:t>Complément sur Git</w:t>
      </w:r>
    </w:p>
    <w:p w14:paraId="3E83EE19" w14:textId="65699CC9" w:rsidR="00544BC9" w:rsidRDefault="00544BC9" w:rsidP="00544BC9">
      <w:pPr>
        <w:jc w:val="center"/>
        <w:rPr>
          <w:b/>
          <w:bCs/>
          <w:u w:val="single"/>
        </w:rPr>
      </w:pPr>
      <w:r w:rsidRPr="00544BC9">
        <w:rPr>
          <w:b/>
          <w:bCs/>
          <w:u w:val="single"/>
        </w:rPr>
        <w:t>Complément sur Git : Annuler une fusion</w:t>
      </w:r>
    </w:p>
    <w:p w14:paraId="307E630D" w14:textId="2860708F" w:rsidR="00544BC9" w:rsidRDefault="00544BC9" w:rsidP="00544BC9">
      <w:pPr>
        <w:rPr>
          <w:rFonts w:eastAsiaTheme="minorEastAsia"/>
          <w:bCs/>
        </w:rPr>
      </w:pPr>
      <w:r w:rsidRPr="00EE0ADF">
        <w:rPr>
          <w:b/>
        </w:rPr>
        <w:t>Annuler une fusion :</w:t>
      </w:r>
      <w:r>
        <w:rPr>
          <w:bCs/>
        </w:rPr>
        <w:t xml:space="preserve"> </w:t>
      </w:r>
      <m:oMath>
        <m:r>
          <w:rPr>
            <w:rFonts w:ascii="Cambria Math" w:hAnsi="Cambria Math"/>
          </w:rPr>
          <m:t>git revert&lt;commit&gt;</m:t>
        </m:r>
      </m:oMath>
    </w:p>
    <w:p w14:paraId="75D906D1" w14:textId="5622A764" w:rsidR="00544BC9" w:rsidRPr="00544BC9" w:rsidRDefault="00544BC9" w:rsidP="00544BC9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Choisir le parent : </w:t>
      </w:r>
      <m:oMath>
        <m:r>
          <w:rPr>
            <w:rFonts w:ascii="Cambria Math" w:hAnsi="Cambria Math"/>
          </w:rPr>
          <m:t>git revert -m</m:t>
        </m:r>
        <m:r>
          <w:rPr>
            <w:rFonts w:ascii="Cambria Math" w:eastAsiaTheme="minorEastAsia" w:hAnsi="Cambria Math"/>
          </w:rPr>
          <m:t xml:space="preserve"> 1…</m:t>
        </m:r>
      </m:oMath>
    </w:p>
    <w:p w14:paraId="33D8985B" w14:textId="48D75FE3" w:rsidR="00544BC9" w:rsidRPr="00EE0ADF" w:rsidRDefault="00544BC9" w:rsidP="00544BC9">
      <w:pPr>
        <w:pStyle w:val="Paragraphedeliste"/>
        <w:numPr>
          <w:ilvl w:val="0"/>
          <w:numId w:val="1"/>
        </w:numPr>
        <w:rPr>
          <w:bCs/>
        </w:rPr>
      </w:pPr>
      <w:r>
        <w:rPr>
          <w:rFonts w:eastAsiaTheme="minorEastAsia"/>
          <w:bCs/>
        </w:rPr>
        <w:t xml:space="preserve">Merge impossible plus tard : 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  <w:t>Message « </w:t>
      </w:r>
      <w:proofErr w:type="spellStart"/>
      <w:r>
        <w:rPr>
          <w:rFonts w:eastAsiaTheme="minorEastAsia"/>
          <w:bCs/>
        </w:rPr>
        <w:t>Already</w:t>
      </w:r>
      <w:proofErr w:type="spellEnd"/>
      <w:r>
        <w:rPr>
          <w:rFonts w:eastAsiaTheme="minorEastAsia"/>
          <w:bCs/>
        </w:rPr>
        <w:t xml:space="preserve"> up to date »</w:t>
      </w:r>
    </w:p>
    <w:p w14:paraId="7EB49170" w14:textId="4537C5E6" w:rsidR="00EE0ADF" w:rsidRPr="00EE0ADF" w:rsidRDefault="00EE0ADF" w:rsidP="00EE0ADF">
      <w:pPr>
        <w:jc w:val="center"/>
        <w:rPr>
          <w:b/>
          <w:u w:val="single"/>
        </w:rPr>
      </w:pPr>
      <w:r w:rsidRPr="00EE0ADF">
        <w:rPr>
          <w:b/>
          <w:u w:val="single"/>
        </w:rPr>
        <w:t>Coder avec style (et être lisible)</w:t>
      </w:r>
    </w:p>
    <w:p w14:paraId="03F71290" w14:textId="0400133D" w:rsidR="00EE0ADF" w:rsidRPr="00B02029" w:rsidRDefault="00EE0ADF" w:rsidP="00EE0ADF">
      <w:pPr>
        <w:rPr>
          <w:b/>
        </w:rPr>
      </w:pPr>
      <w:r w:rsidRPr="00B02029">
        <w:rPr>
          <w:b/>
        </w:rPr>
        <w:t xml:space="preserve">Question de style : </w:t>
      </w:r>
    </w:p>
    <w:p w14:paraId="10C3717E" w14:textId="32F2F8EC" w:rsidR="00EE0ADF" w:rsidRDefault="00EE0ADF" w:rsidP="00900962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Aucun programme n’est écrit directement dans sa version définitive ;</w:t>
      </w:r>
    </w:p>
    <w:p w14:paraId="5A584B7D" w14:textId="06B27380" w:rsidR="00EE0ADF" w:rsidRDefault="00EE0ADF" w:rsidP="00900962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Il doit donc pouvoir être facilement modifié par la suite ;</w:t>
      </w:r>
    </w:p>
    <w:p w14:paraId="003BA478" w14:textId="188F7150" w:rsidR="00EE0ADF" w:rsidRDefault="00EE0ADF" w:rsidP="00900962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Pour cela, ce qui est déjà écrit doit être </w:t>
      </w:r>
      <w:r w:rsidRPr="00EE0ADF">
        <w:rPr>
          <w:b/>
        </w:rPr>
        <w:t>lisible et compréhensible</w:t>
      </w:r>
      <w:r>
        <w:rPr>
          <w:bCs/>
        </w:rPr>
        <w:t> :</w:t>
      </w:r>
    </w:p>
    <w:p w14:paraId="1ABF0EE3" w14:textId="54DE87EB" w:rsidR="00EE0ADF" w:rsidRDefault="00EE0ADF" w:rsidP="00900962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>Lisible par le programmeur d’origine ;</w:t>
      </w:r>
    </w:p>
    <w:p w14:paraId="46E0CDD8" w14:textId="4DDA418A" w:rsidR="00EE0ADF" w:rsidRDefault="00EE0ADF" w:rsidP="00900962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>Lisible par l’équipe qui travaille sur le projet ;</w:t>
      </w:r>
    </w:p>
    <w:p w14:paraId="304BA712" w14:textId="56860048" w:rsidR="00EE0ADF" w:rsidRDefault="00EE0ADF" w:rsidP="00900962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 xml:space="preserve">Lisible par toute personne susceptible de travailler sur le code source (pour le logiciel </w:t>
      </w:r>
      <w:r w:rsidR="00B02029">
        <w:rPr>
          <w:bCs/>
        </w:rPr>
        <w:t>libre : la Terre entière !).</w:t>
      </w:r>
    </w:p>
    <w:p w14:paraId="51AD0542" w14:textId="65D61012" w:rsidR="00B02029" w:rsidRDefault="00B02029" w:rsidP="00B02029">
      <w:pPr>
        <w:pStyle w:val="Paragraphedeliste"/>
        <w:rPr>
          <w:bCs/>
        </w:rPr>
      </w:pPr>
      <w:r w:rsidRPr="00E51C66">
        <w:rPr>
          <w:bCs/>
          <w:highlight w:val="yellow"/>
        </w:rPr>
        <w:t>Les commentaires</w:t>
      </w:r>
      <w:r>
        <w:rPr>
          <w:bCs/>
        </w:rPr>
        <w:t xml:space="preserve"> et la </w:t>
      </w:r>
      <w:proofErr w:type="spellStart"/>
      <w:r>
        <w:rPr>
          <w:bCs/>
        </w:rPr>
        <w:t>Javadoc</w:t>
      </w:r>
      <w:proofErr w:type="spellEnd"/>
      <w:r>
        <w:rPr>
          <w:bCs/>
        </w:rPr>
        <w:t xml:space="preserve"> peuvent aider, mais rien ne remplace un code source bien écrit.</w:t>
      </w:r>
    </w:p>
    <w:p w14:paraId="4D87DE9F" w14:textId="2092FF38" w:rsidR="00795E08" w:rsidRPr="004E19AF" w:rsidRDefault="00795E08" w:rsidP="00795E08">
      <w:pPr>
        <w:rPr>
          <w:b/>
        </w:rPr>
      </w:pPr>
      <w:r w:rsidRPr="004E19AF">
        <w:rPr>
          <w:b/>
        </w:rPr>
        <w:t>Question de goût ?</w:t>
      </w:r>
    </w:p>
    <w:p w14:paraId="6E9F13F1" w14:textId="2EC34F36" w:rsidR="00795E08" w:rsidRDefault="00795E08" w:rsidP="00E61785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« Être lisible » </w:t>
      </w:r>
      <w:r w:rsidRPr="00795E08">
        <w:rPr>
          <w:bCs/>
        </w:rPr>
        <w:sym w:font="Wingdings" w:char="F0E0"/>
      </w:r>
      <w:r>
        <w:rPr>
          <w:bCs/>
        </w:rPr>
        <w:t xml:space="preserve"> Evidemment très subjectif ;</w:t>
      </w:r>
    </w:p>
    <w:p w14:paraId="6D232BEB" w14:textId="51D2CB3E" w:rsidR="00795E08" w:rsidRDefault="00795E08" w:rsidP="00E61785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Un programme est lisible s’il est écrit tel qu</w:t>
      </w:r>
      <w:r w:rsidR="003F182E">
        <w:rPr>
          <w:bCs/>
        </w:rPr>
        <w:t>’ «</w:t>
      </w:r>
      <w:r>
        <w:rPr>
          <w:bCs/>
        </w:rPr>
        <w:t xml:space="preserve"> on » a </w:t>
      </w:r>
      <w:r w:rsidRPr="003F182E">
        <w:rPr>
          <w:bCs/>
          <w:highlight w:val="yellow"/>
        </w:rPr>
        <w:t>l’habitude</w:t>
      </w:r>
      <w:r>
        <w:rPr>
          <w:bCs/>
        </w:rPr>
        <w:t xml:space="preserve"> de les lire ;</w:t>
      </w:r>
    </w:p>
    <w:p w14:paraId="64C1E9FB" w14:textId="625C61D0" w:rsidR="00795E08" w:rsidRDefault="00795E08" w:rsidP="00E61785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 </w:t>
      </w:r>
      <w:r w:rsidRPr="00795E08">
        <w:rPr>
          <w:bCs/>
        </w:rPr>
        <w:sym w:font="Wingdings" w:char="F0E0"/>
      </w:r>
      <w:r>
        <w:rPr>
          <w:bCs/>
        </w:rPr>
        <w:t xml:space="preserve"> Habitude communes </w:t>
      </w:r>
      <w:r w:rsidR="005F7C1F">
        <w:rPr>
          <w:bCs/>
        </w:rPr>
        <w:t xml:space="preserve">prises par la plupart des programmeurs Java (d’autres prises par seulement par telle ou telle organisation ou </w:t>
      </w:r>
      <w:r w:rsidR="00CC47AB">
        <w:rPr>
          <w:bCs/>
        </w:rPr>
        <w:t>communauté).</w:t>
      </w:r>
    </w:p>
    <w:p w14:paraId="055DE23B" w14:textId="77777777" w:rsidR="00E61785" w:rsidRDefault="00B058CA" w:rsidP="00E61785">
      <w:pPr>
        <w:pStyle w:val="Paragraphedeliste"/>
        <w:rPr>
          <w:bCs/>
        </w:rPr>
      </w:pPr>
      <w:r w:rsidRPr="00E61785">
        <w:rPr>
          <w:bCs/>
        </w:rPr>
        <w:t xml:space="preserve">Langage de programmation </w:t>
      </w:r>
      <w:r w:rsidRPr="00B058CA">
        <w:sym w:font="Wingdings" w:char="F0E0"/>
      </w:r>
      <w:r w:rsidRPr="00E61785">
        <w:rPr>
          <w:bCs/>
        </w:rPr>
        <w:t xml:space="preserve"> </w:t>
      </w:r>
      <w:r w:rsidRPr="003F182E">
        <w:rPr>
          <w:bCs/>
          <w:highlight w:val="yellow"/>
        </w:rPr>
        <w:t>Comme une langue vivante</w:t>
      </w:r>
      <w:r w:rsidRPr="00E61785">
        <w:rPr>
          <w:bCs/>
        </w:rPr>
        <w:t> !</w:t>
      </w:r>
    </w:p>
    <w:p w14:paraId="654398C2" w14:textId="450D77CB" w:rsidR="001065AE" w:rsidRDefault="001065AE" w:rsidP="00E61785">
      <w:pPr>
        <w:pStyle w:val="Paragraphedeliste"/>
        <w:rPr>
          <w:bCs/>
        </w:rPr>
      </w:pPr>
      <w:r>
        <w:rPr>
          <w:bCs/>
        </w:rPr>
        <w:t xml:space="preserve">Il ne suffit pas de connaître par cœur </w:t>
      </w:r>
      <w:r w:rsidR="00BD6007">
        <w:rPr>
          <w:bCs/>
        </w:rPr>
        <w:t>le livre de grammaire pour être compris des locuteurs natifs</w:t>
      </w:r>
      <w:r w:rsidR="00900962">
        <w:rPr>
          <w:bCs/>
        </w:rPr>
        <w:t xml:space="preserve"> </w:t>
      </w:r>
      <w:r w:rsidR="00BD6007">
        <w:rPr>
          <w:bCs/>
        </w:rPr>
        <w:t>(il faut aussi prendre l’accent et utiliser les tournures idiomatiques).</w:t>
      </w:r>
    </w:p>
    <w:p w14:paraId="75EC69FD" w14:textId="324054CF" w:rsidR="00BD6007" w:rsidRPr="004E19AF" w:rsidRDefault="00BD6007" w:rsidP="00BD6007">
      <w:pPr>
        <w:rPr>
          <w:b/>
        </w:rPr>
      </w:pPr>
      <w:r w:rsidRPr="004E19AF">
        <w:rPr>
          <w:b/>
        </w:rPr>
        <w:t>Une hiérarchie de normes</w:t>
      </w:r>
    </w:p>
    <w:p w14:paraId="1B3F6C93" w14:textId="0CCA6E4B" w:rsidR="00900962" w:rsidRDefault="00900962" w:rsidP="00900962">
      <w:pPr>
        <w:pStyle w:val="Paragraphedeliste"/>
        <w:rPr>
          <w:bCs/>
        </w:rPr>
      </w:pPr>
      <w:r>
        <w:rPr>
          <w:bCs/>
        </w:rPr>
        <w:t xml:space="preserve">Habitudes dictées par : </w:t>
      </w:r>
    </w:p>
    <w:p w14:paraId="122AE72A" w14:textId="567A1DF2" w:rsidR="00900962" w:rsidRDefault="009B480A" w:rsidP="009B480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>Le compilateur (la syntaxe du Langage de programmation) ;</w:t>
      </w:r>
    </w:p>
    <w:p w14:paraId="6D78E157" w14:textId="536617FC" w:rsidR="009B480A" w:rsidRDefault="009B480A" w:rsidP="009B480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 xml:space="preserve">L’éventuel guide de style publié par l’éditeur du langage 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A00A0E">
        <w:rPr>
          <w:bCs/>
        </w:rPr>
        <w:t xml:space="preserve">(pour Java, guide publié par Sun </w:t>
      </w:r>
      <w:r w:rsidR="00A00A0E" w:rsidRPr="00A00A0E">
        <w:rPr>
          <w:bCs/>
        </w:rPr>
        <w:sym w:font="Wingdings" w:char="F0E0"/>
      </w:r>
      <w:r w:rsidR="00A00A0E">
        <w:rPr>
          <w:bCs/>
        </w:rPr>
        <w:t xml:space="preserve"> Conventions à vocation universelle pour tout</w:t>
      </w:r>
      <w:r w:rsidR="00A00A0E">
        <w:rPr>
          <w:bCs/>
        </w:rPr>
        <w:tab/>
        <w:t>programmeur Java).</w:t>
      </w:r>
    </w:p>
    <w:p w14:paraId="0265C5D9" w14:textId="0A4085E4" w:rsidR="00A00A0E" w:rsidRDefault="00A00A0E" w:rsidP="009B480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 xml:space="preserve">Les directives de son </w:t>
      </w:r>
      <w:r w:rsidR="00E81D0B">
        <w:rPr>
          <w:bCs/>
        </w:rPr>
        <w:t>entreprise</w:t>
      </w:r>
      <w:r>
        <w:rPr>
          <w:bCs/>
        </w:rPr>
        <w:t>/organisation ;</w:t>
      </w:r>
    </w:p>
    <w:p w14:paraId="0346757F" w14:textId="0C22D0E9" w:rsidR="00A00A0E" w:rsidRDefault="00E81D0B" w:rsidP="009B480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>Les directives propres au projet</w:t>
      </w:r>
    </w:p>
    <w:p w14:paraId="4850A9B6" w14:textId="282825B6" w:rsidR="00A27FB5" w:rsidRDefault="00E81D0B" w:rsidP="00A27FB5">
      <w:pPr>
        <w:pStyle w:val="Paragraphedeliste"/>
        <w:ind w:left="1440"/>
        <w:rPr>
          <w:bCs/>
        </w:rPr>
      </w:pPr>
      <w:r>
        <w:rPr>
          <w:bCs/>
        </w:rPr>
        <w:t>… Et ainsi, de suite (il peut y avoir des conventions internes à un package, à une classe</w:t>
      </w:r>
      <w:r w:rsidR="00A27FB5">
        <w:rPr>
          <w:bCs/>
        </w:rPr>
        <w:t>, etc.)</w:t>
      </w:r>
    </w:p>
    <w:p w14:paraId="30CDB45A" w14:textId="62D83898" w:rsidR="00A27FB5" w:rsidRDefault="00A27FB5" w:rsidP="00A27FB5">
      <w:pPr>
        <w:pStyle w:val="Paragraphedeliste"/>
        <w:ind w:left="1440"/>
        <w:rPr>
          <w:bCs/>
        </w:rPr>
      </w:pPr>
      <w:r>
        <w:rPr>
          <w:bCs/>
        </w:rPr>
        <w:t>Et enfin… le bon sens !</w:t>
      </w:r>
    </w:p>
    <w:p w14:paraId="68E78093" w14:textId="43F58B9D" w:rsidR="00B8070D" w:rsidRDefault="00B8070D" w:rsidP="00B8070D">
      <w:pPr>
        <w:pStyle w:val="Paragraphedeliste"/>
        <w:rPr>
          <w:bCs/>
        </w:rPr>
      </w:pPr>
      <w:r>
        <w:rPr>
          <w:bCs/>
        </w:rPr>
        <w:t>On prendra en exemple dans ce cours les conventions associées habituellement au langage Java.</w:t>
      </w:r>
    </w:p>
    <w:p w14:paraId="346D98CD" w14:textId="75144588" w:rsidR="00B8070D" w:rsidRDefault="00B8070D" w:rsidP="00B8070D">
      <w:pPr>
        <w:pStyle w:val="Paragraphedeliste"/>
        <w:rPr>
          <w:bCs/>
        </w:rPr>
      </w:pPr>
      <w:r>
        <w:rPr>
          <w:bCs/>
        </w:rPr>
        <w:t>Les grands principes valent cependant pour les autres langages.</w:t>
      </w:r>
    </w:p>
    <w:p w14:paraId="462FE2E7" w14:textId="77777777" w:rsidR="00B8070D" w:rsidRPr="00B8070D" w:rsidRDefault="00B8070D" w:rsidP="00B8070D">
      <w:pPr>
        <w:rPr>
          <w:bCs/>
        </w:rPr>
      </w:pPr>
    </w:p>
    <w:p w14:paraId="40273D88" w14:textId="439EDEF0" w:rsidR="00900962" w:rsidRPr="006470E0" w:rsidRDefault="00B8070D" w:rsidP="00B8070D">
      <w:pPr>
        <w:jc w:val="center"/>
        <w:rPr>
          <w:b/>
          <w:color w:val="EE0000"/>
        </w:rPr>
      </w:pPr>
      <w:r w:rsidRPr="006470E0">
        <w:rPr>
          <w:b/>
          <w:color w:val="EE0000"/>
        </w:rPr>
        <w:lastRenderedPageBreak/>
        <w:t>Noms</w:t>
      </w:r>
    </w:p>
    <w:p w14:paraId="3EF3745C" w14:textId="11D84E4B" w:rsidR="00900962" w:rsidRPr="004F4B41" w:rsidRDefault="00900962" w:rsidP="00BD6007">
      <w:pPr>
        <w:rPr>
          <w:b/>
        </w:rPr>
      </w:pPr>
      <w:r w:rsidRPr="004F4B41">
        <w:rPr>
          <w:b/>
        </w:rPr>
        <w:t>Nommer les entités</w:t>
      </w:r>
    </w:p>
    <w:p w14:paraId="273B10F1" w14:textId="7A472E91" w:rsidR="00EE66C1" w:rsidRDefault="00EE66C1" w:rsidP="00EE66C1">
      <w:pPr>
        <w:pStyle w:val="Paragraphedeliste"/>
        <w:numPr>
          <w:ilvl w:val="0"/>
          <w:numId w:val="1"/>
        </w:numPr>
        <w:rPr>
          <w:bCs/>
        </w:rPr>
      </w:pPr>
      <w:r w:rsidRPr="004F4B41">
        <w:rPr>
          <w:bCs/>
          <w:u w:val="single"/>
        </w:rPr>
        <w:t>Classes, méthodes, variables</w:t>
      </w:r>
      <w:r>
        <w:rPr>
          <w:bCs/>
        </w:rPr>
        <w:t> :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Règles de capitalisation pour les noms (auxquelles on ne déroge </w:t>
      </w:r>
      <w:r w:rsidR="00002256">
        <w:rPr>
          <w:bCs/>
        </w:rPr>
        <w:t>pratiquement</w:t>
      </w:r>
      <w:r>
        <w:rPr>
          <w:bCs/>
        </w:rPr>
        <w:t xml:space="preserve"> </w:t>
      </w:r>
      <w:r w:rsidR="00002256">
        <w:rPr>
          <w:bCs/>
        </w:rPr>
        <w:t>jamais en Java) :</w:t>
      </w:r>
    </w:p>
    <w:p w14:paraId="7BA0C32E" w14:textId="7DAD5C86" w:rsidR="00002256" w:rsidRPr="009671A8" w:rsidRDefault="00002256" w:rsidP="00002256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… De classes, interfaces, énumérations et annotations </w:t>
      </w:r>
      <w:r w:rsidRPr="00002256">
        <w:rPr>
          <w:bCs/>
        </w:rPr>
        <w:sym w:font="Wingdings" w:char="F0E0"/>
      </w:r>
      <w:r>
        <w:rPr>
          <w:bCs/>
        </w:rPr>
        <w:t xml:space="preserve"> </w:t>
      </w:r>
      <m:oMath>
        <m:r>
          <w:rPr>
            <w:rFonts w:ascii="Cambria Math" w:hAnsi="Cambria Math"/>
            <w:highlight w:val="yellow"/>
          </w:rPr>
          <m:t>UpperCamelCase</m:t>
        </m:r>
      </m:oMath>
      <w:r w:rsidR="009671A8">
        <w:rPr>
          <w:rFonts w:eastAsiaTheme="minorEastAsia"/>
          <w:bCs/>
        </w:rPr>
        <w:t> ;</w:t>
      </w:r>
    </w:p>
    <w:p w14:paraId="2AB04CD2" w14:textId="247410A7" w:rsidR="009671A8" w:rsidRPr="00FF5C0D" w:rsidRDefault="009671A8" w:rsidP="0000225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…</w:t>
      </w:r>
      <w:r w:rsidR="00FF5C0D">
        <w:rPr>
          <w:rFonts w:eastAsiaTheme="minorEastAsia"/>
          <w:bCs/>
        </w:rPr>
        <w:t xml:space="preserve"> De variables (locales et attributs), méthodes </w:t>
      </w:r>
      <w:r w:rsidR="00FF5C0D" w:rsidRPr="00FF5C0D">
        <w:rPr>
          <w:rFonts w:eastAsiaTheme="minorEastAsia"/>
          <w:bCs/>
        </w:rPr>
        <w:sym w:font="Wingdings" w:char="F0E0"/>
      </w:r>
      <w:r w:rsidR="00FF5C0D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lowerCamelCase</m:t>
        </m:r>
      </m:oMath>
      <w:r w:rsidR="00FF5C0D">
        <w:rPr>
          <w:rFonts w:eastAsiaTheme="minorEastAsia"/>
          <w:bCs/>
        </w:rPr>
        <w:t> ;</w:t>
      </w:r>
    </w:p>
    <w:p w14:paraId="5128358B" w14:textId="172FEFA1" w:rsidR="00FF5C0D" w:rsidRPr="00FF5C0D" w:rsidRDefault="00FF5C0D" w:rsidP="0000225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… De constantes (</w:t>
      </w:r>
      <m:oMath>
        <m:r>
          <w:rPr>
            <w:rFonts w:ascii="Cambria Math" w:eastAsiaTheme="minorEastAsia" w:hAnsi="Cambria Math"/>
            <w:color w:val="4EA72E" w:themeColor="accent6"/>
          </w:rPr>
          <m:t>static</m:t>
        </m:r>
      </m:oMath>
      <w:r w:rsidRPr="00E320CD">
        <w:rPr>
          <w:rFonts w:eastAsiaTheme="minorEastAsia"/>
          <w:bCs/>
          <w:color w:val="4EA72E" w:themeColor="accent6"/>
        </w:rPr>
        <w:t xml:space="preserve"> </w:t>
      </w:r>
      <m:oMath>
        <m:r>
          <w:rPr>
            <w:rFonts w:ascii="Cambria Math" w:eastAsiaTheme="minorEastAsia" w:hAnsi="Cambria Math"/>
            <w:color w:val="4EA72E" w:themeColor="accent6"/>
          </w:rPr>
          <m:t>final</m:t>
        </m:r>
      </m:oMath>
      <w:r w:rsidRPr="00E320CD">
        <w:rPr>
          <w:rFonts w:eastAsiaTheme="minorEastAsia"/>
          <w:bCs/>
          <w:color w:val="4EA72E" w:themeColor="accent6"/>
        </w:rPr>
        <w:t xml:space="preserve"> </w:t>
      </w:r>
      <w:r>
        <w:rPr>
          <w:rFonts w:eastAsiaTheme="minorEastAsia"/>
          <w:bCs/>
        </w:rPr>
        <w:t xml:space="preserve">ou valeur </w:t>
      </w:r>
      <w:r w:rsidRPr="00E320CD">
        <w:rPr>
          <w:rFonts w:eastAsiaTheme="minorEastAsia"/>
          <w:bCs/>
          <w:color w:val="4EA72E" w:themeColor="accent6"/>
        </w:rPr>
        <w:t>d’</w:t>
      </w:r>
      <m:oMath>
        <m:r>
          <w:rPr>
            <w:rFonts w:ascii="Cambria Math" w:eastAsiaTheme="minorEastAsia" w:hAnsi="Cambria Math"/>
            <w:color w:val="4EA72E" w:themeColor="accent6"/>
          </w:rPr>
          <m:t>enum</m:t>
        </m:r>
      </m:oMath>
      <w:r>
        <w:rPr>
          <w:rFonts w:eastAsiaTheme="minorEastAsia"/>
          <w:bCs/>
        </w:rPr>
        <w:t xml:space="preserve">) </w:t>
      </w:r>
      <w:r w:rsidRPr="00FF5C0D">
        <w:rPr>
          <w:rFonts w:eastAsiaTheme="minorEastAsia"/>
          <w:bCs/>
        </w:rPr>
        <w:sym w:font="Wingdings" w:char="F0E0"/>
      </w:r>
      <w:r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SCREAMING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_</m:t>
        </m:r>
        <m:r>
          <w:rPr>
            <w:rFonts w:ascii="Cambria Math" w:eastAsiaTheme="minorEastAsia" w:hAnsi="Cambria Math"/>
            <w:highlight w:val="yellow"/>
          </w:rPr>
          <m:t>SNAKE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_</m:t>
        </m:r>
        <m:r>
          <w:rPr>
            <w:rFonts w:ascii="Cambria Math" w:eastAsiaTheme="minorEastAsia" w:hAnsi="Cambria Math"/>
            <w:highlight w:val="yellow"/>
          </w:rPr>
          <m:t>Case</m:t>
        </m:r>
      </m:oMath>
      <w:r>
        <w:rPr>
          <w:rFonts w:eastAsiaTheme="minorEastAsia"/>
          <w:bCs/>
        </w:rPr>
        <w:t> ;</w:t>
      </w:r>
    </w:p>
    <w:p w14:paraId="56E62FD1" w14:textId="13AD8A60" w:rsidR="00FF5C0D" w:rsidRPr="000442C5" w:rsidRDefault="00FF5C0D" w:rsidP="0000225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 xml:space="preserve">… De packages </w:t>
      </w:r>
      <w:r w:rsidRPr="00FF5C0D">
        <w:rPr>
          <w:rFonts w:eastAsiaTheme="minorEastAsia"/>
          <w:bCs/>
        </w:rPr>
        <w:sym w:font="Wingdings" w:char="F0E0"/>
      </w:r>
      <w:r>
        <w:rPr>
          <w:rFonts w:eastAsiaTheme="minorEastAsia"/>
          <w:bCs/>
        </w:rPr>
        <w:t xml:space="preserve"> Tout en minuscule</w:t>
      </w:r>
      <w:r w:rsidR="000442C5">
        <w:rPr>
          <w:rFonts w:eastAsiaTheme="minorEastAsia"/>
          <w:bCs/>
        </w:rPr>
        <w:t xml:space="preserve">s sans séparateur de mots. </w:t>
      </w:r>
      <w:r w:rsidR="000442C5">
        <w:rPr>
          <w:rFonts w:eastAsiaTheme="minorEastAsia"/>
          <w:bCs/>
        </w:rPr>
        <w:tab/>
      </w:r>
      <w:r w:rsidR="000442C5">
        <w:rPr>
          <w:rFonts w:eastAsiaTheme="minorEastAsia"/>
          <w:bCs/>
        </w:rPr>
        <w:tab/>
      </w:r>
      <w:r w:rsidR="000442C5">
        <w:rPr>
          <w:rFonts w:eastAsiaTheme="minorEastAsia"/>
          <w:bCs/>
        </w:rPr>
        <w:tab/>
        <w:t xml:space="preserve"> Exemple : </w:t>
      </w:r>
      <m:oMath>
        <m:r>
          <w:rPr>
            <w:rFonts w:ascii="Cambria Math" w:eastAsiaTheme="minorEastAsia" w:hAnsi="Cambria Math"/>
            <w:color w:val="4EA72E" w:themeColor="accent6"/>
          </w:rPr>
          <m:t>com.masociete.bibliotequetruc</m:t>
        </m:r>
      </m:oMath>
      <w:r w:rsidR="000442C5">
        <w:rPr>
          <w:rFonts w:eastAsiaTheme="minorEastAsia"/>
          <w:bCs/>
        </w:rPr>
        <w:t>.</w:t>
      </w:r>
    </w:p>
    <w:p w14:paraId="014D26E3" w14:textId="12F2052F" w:rsidR="000442C5" w:rsidRDefault="004F4B41" w:rsidP="004F4B41">
      <w:pPr>
        <w:pStyle w:val="Paragraphedeliste"/>
        <w:numPr>
          <w:ilvl w:val="0"/>
          <w:numId w:val="1"/>
        </w:numPr>
        <w:rPr>
          <w:bCs/>
        </w:rPr>
      </w:pPr>
      <w:r w:rsidRPr="009B696B">
        <w:rPr>
          <w:bCs/>
          <w:u w:val="single"/>
        </w:rPr>
        <w:t>Codage et langue</w:t>
      </w:r>
      <w:r>
        <w:rPr>
          <w:bCs/>
        </w:rPr>
        <w:t xml:space="preserve"> : </w:t>
      </w:r>
    </w:p>
    <w:p w14:paraId="63D1E33B" w14:textId="6B42F873" w:rsidR="0026636B" w:rsidRPr="009B696B" w:rsidRDefault="0026636B" w:rsidP="0026636B">
      <w:pPr>
        <w:pStyle w:val="Paragraphedeliste"/>
        <w:numPr>
          <w:ilvl w:val="1"/>
          <w:numId w:val="1"/>
        </w:numPr>
        <w:rPr>
          <w:b/>
        </w:rPr>
      </w:pPr>
      <w:r w:rsidRPr="009B696B">
        <w:rPr>
          <w:b/>
        </w:rPr>
        <w:t>Se restreindre aux caractères suivants :</w:t>
      </w:r>
    </w:p>
    <w:p w14:paraId="219421D5" w14:textId="623867A4" w:rsidR="0026636B" w:rsidRPr="0026636B" w:rsidRDefault="0026636B" w:rsidP="0026636B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</w:rPr>
          <m:t>a-z</m:t>
        </m:r>
      </m:oMath>
      <w:r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A-Z</m:t>
        </m:r>
      </m:oMath>
      <w:r>
        <w:rPr>
          <w:rFonts w:eastAsiaTheme="minorEastAsia"/>
          <w:bCs/>
        </w:rPr>
        <w:t> : Les lettres minuscules et capitales (non accentuées) ;</w:t>
      </w:r>
    </w:p>
    <w:p w14:paraId="23C6B50F" w14:textId="7D243EFC" w:rsidR="0026636B" w:rsidRPr="0026636B" w:rsidRDefault="0026636B" w:rsidP="0026636B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</w:rPr>
          <m:t>0-9</m:t>
        </m:r>
      </m:oMath>
      <w:r>
        <w:rPr>
          <w:rFonts w:eastAsiaTheme="minorEastAsia"/>
          <w:bCs/>
        </w:rPr>
        <w:t> : Les chiffres ;</w:t>
      </w:r>
    </w:p>
    <w:p w14:paraId="485198BE" w14:textId="40F9A940" w:rsidR="0026636B" w:rsidRPr="0026636B" w:rsidRDefault="0026636B" w:rsidP="0026636B">
      <w:pPr>
        <w:pStyle w:val="Paragraphedeliste"/>
        <w:numPr>
          <w:ilvl w:val="2"/>
          <w:numId w:val="1"/>
        </w:numPr>
        <w:rPr>
          <w:bCs/>
        </w:rPr>
      </w:pPr>
      <m:oMath>
        <m:r>
          <m:rPr>
            <m:lit/>
          </m:rPr>
          <w:rPr>
            <w:rFonts w:ascii="Cambria Math" w:hAnsi="Cambria Math"/>
          </w:rPr>
          <m:t>_</m:t>
        </m:r>
      </m:oMath>
      <w:r>
        <w:rPr>
          <w:rFonts w:eastAsiaTheme="minorEastAsia"/>
          <w:bCs/>
        </w:rPr>
        <w:t> </w:t>
      </w:r>
      <w:r w:rsidRPr="0026636B">
        <w:rPr>
          <w:bCs/>
        </w:rPr>
        <w:t>:</w:t>
      </w:r>
      <w:r>
        <w:rPr>
          <w:bCs/>
        </w:rPr>
        <w:t xml:space="preserve"> Le caractère soulignement (seulement pour </w:t>
      </w:r>
      <m:oMath>
        <m:r>
          <w:rPr>
            <w:rFonts w:ascii="Cambria Math" w:hAnsi="Cambria Math"/>
          </w:rPr>
          <m:t>snake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case</m:t>
        </m:r>
      </m:oMath>
      <w:r>
        <w:rPr>
          <w:rFonts w:eastAsiaTheme="minorEastAsia"/>
          <w:bCs/>
        </w:rPr>
        <w:t>).</w:t>
      </w:r>
    </w:p>
    <w:p w14:paraId="34E4953A" w14:textId="149380FE" w:rsidR="0026636B" w:rsidRPr="009B696B" w:rsidRDefault="0026636B" w:rsidP="0026636B">
      <w:pPr>
        <w:pStyle w:val="Paragraphedeliste"/>
        <w:ind w:left="1440"/>
        <w:rPr>
          <w:b/>
        </w:rPr>
      </w:pPr>
      <w:r w:rsidRPr="009B696B">
        <w:rPr>
          <w:b/>
        </w:rPr>
        <w:t xml:space="preserve">Explication : </w:t>
      </w:r>
    </w:p>
    <w:p w14:paraId="16CFC0E7" w14:textId="21C5CC87" w:rsidR="0026636B" w:rsidRPr="00514C07" w:rsidRDefault="0026636B" w:rsidP="0026636B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</w:rPr>
          <m:t>$</m:t>
        </m:r>
      </m:oMath>
      <w:r>
        <w:rPr>
          <w:rFonts w:eastAsiaTheme="minorEastAsia"/>
          <w:bCs/>
        </w:rPr>
        <w:t xml:space="preserve"> (</w:t>
      </w:r>
      <w:r w:rsidR="00C81C8A">
        <w:rPr>
          <w:rFonts w:eastAsiaTheme="minorEastAsia"/>
          <w:bCs/>
        </w:rPr>
        <w:t>Dollar</w:t>
      </w:r>
      <w:r>
        <w:rPr>
          <w:rFonts w:eastAsiaTheme="minorEastAsia"/>
          <w:bCs/>
        </w:rPr>
        <w:t>) est</w:t>
      </w:r>
      <w:r w:rsidR="00ED481D">
        <w:rPr>
          <w:rFonts w:eastAsiaTheme="minorEastAsia"/>
          <w:bCs/>
        </w:rPr>
        <w:t xml:space="preserve"> autorisé mais réservé au code automatiquement généré</w:t>
      </w:r>
      <w:r w:rsidR="00514C07">
        <w:rPr>
          <w:rFonts w:eastAsiaTheme="minorEastAsia"/>
          <w:bCs/>
        </w:rPr>
        <w:t xml:space="preserve"> au code automatiquement généré ;</w:t>
      </w:r>
    </w:p>
    <w:p w14:paraId="5C7FC64D" w14:textId="121DD100" w:rsidR="00514C07" w:rsidRDefault="00514C07" w:rsidP="0026636B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>Les autres caractères ASCII sont réservés (pour la syntaxe du langage) ;</w:t>
      </w:r>
    </w:p>
    <w:p w14:paraId="7D015A1E" w14:textId="17D03C6B" w:rsidR="00514C07" w:rsidRPr="009B696B" w:rsidRDefault="00514C07" w:rsidP="0026636B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 xml:space="preserve">La plupart des caractères </w:t>
      </w:r>
      <w:proofErr w:type="spellStart"/>
      <w:r>
        <w:rPr>
          <w:bCs/>
        </w:rPr>
        <w:t>unicode</w:t>
      </w:r>
      <w:proofErr w:type="spellEnd"/>
      <w:r>
        <w:rPr>
          <w:bCs/>
        </w:rPr>
        <w:t xml:space="preserve"> non-ASCII (</w:t>
      </w:r>
      <w:r w:rsidR="009B696B">
        <w:rPr>
          <w:bCs/>
        </w:rPr>
        <w:t xml:space="preserve">ex : caractères accentués), mais aucun standard de codage imposé pour les fichiers </w:t>
      </w:r>
      <m:oMath>
        <m:r>
          <w:rPr>
            <w:rFonts w:ascii="Cambria Math" w:hAnsi="Cambria Math"/>
          </w:rPr>
          <m:t>.java</m:t>
        </m:r>
      </m:oMath>
      <w:r w:rsidR="009B696B">
        <w:rPr>
          <w:rFonts w:eastAsiaTheme="minorEastAsia"/>
          <w:bCs/>
        </w:rPr>
        <w:t>.</w:t>
      </w:r>
    </w:p>
    <w:p w14:paraId="6F81DEDC" w14:textId="0CEC1175" w:rsidR="009B696B" w:rsidRPr="009B696B" w:rsidRDefault="009B696B" w:rsidP="009B696B">
      <w:pPr>
        <w:pStyle w:val="Paragraphedeliste"/>
        <w:numPr>
          <w:ilvl w:val="1"/>
          <w:numId w:val="1"/>
        </w:numPr>
        <w:rPr>
          <w:bCs/>
        </w:rPr>
      </w:pPr>
      <w:r w:rsidRPr="009B696B">
        <w:rPr>
          <w:b/>
        </w:rPr>
        <w:t>Interdits :</w:t>
      </w:r>
      <w:r>
        <w:rPr>
          <w:bCs/>
        </w:rPr>
        <w:t xml:space="preserve"> Commencer par </w:t>
      </w:r>
      <m:oMath>
        <m:r>
          <w:rPr>
            <w:rFonts w:ascii="Cambria Math" w:hAnsi="Cambria Math"/>
          </w:rPr>
          <m:t>0-9</m:t>
        </m:r>
      </m:oMath>
      <w:r>
        <w:rPr>
          <w:rFonts w:eastAsiaTheme="minorEastAsia"/>
          <w:bCs/>
        </w:rPr>
        <w:t> : Prendre un nom identique à un mot-clé réservé ;</w:t>
      </w:r>
    </w:p>
    <w:p w14:paraId="0DB6C3CB" w14:textId="0A9DECAA" w:rsidR="009B696B" w:rsidRDefault="009B696B" w:rsidP="009B696B">
      <w:pPr>
        <w:pStyle w:val="Paragraphedeliste"/>
        <w:numPr>
          <w:ilvl w:val="1"/>
          <w:numId w:val="1"/>
        </w:numPr>
        <w:rPr>
          <w:bCs/>
        </w:rPr>
      </w:pPr>
      <w:r w:rsidRPr="009B696B">
        <w:rPr>
          <w:b/>
        </w:rPr>
        <w:t>Recommandé :</w:t>
      </w:r>
      <w:r>
        <w:rPr>
          <w:bCs/>
        </w:rPr>
        <w:t xml:space="preserve"> Utiliser l’Anglais américain (pour les noms utilisés dans le programme et </w:t>
      </w:r>
      <w:r w:rsidR="00C81C8A">
        <w:rPr>
          <w:bCs/>
        </w:rPr>
        <w:t>les commentaires</w:t>
      </w:r>
      <w:r>
        <w:rPr>
          <w:bCs/>
        </w:rPr>
        <w:t xml:space="preserve"> et la </w:t>
      </w:r>
      <w:proofErr w:type="spellStart"/>
      <w:r>
        <w:rPr>
          <w:bCs/>
        </w:rPr>
        <w:t>Javadoc</w:t>
      </w:r>
      <w:proofErr w:type="spellEnd"/>
      <w:r>
        <w:rPr>
          <w:bCs/>
        </w:rPr>
        <w:t>)</w:t>
      </w:r>
    </w:p>
    <w:p w14:paraId="18DA6F2B" w14:textId="26F345B9" w:rsidR="004953BB" w:rsidRDefault="009B696B" w:rsidP="009B696B">
      <w:pPr>
        <w:pStyle w:val="Paragraphedeliste"/>
        <w:numPr>
          <w:ilvl w:val="0"/>
          <w:numId w:val="1"/>
        </w:numPr>
        <w:rPr>
          <w:bCs/>
        </w:rPr>
      </w:pPr>
      <w:r w:rsidRPr="006470E0">
        <w:rPr>
          <w:bCs/>
          <w:u w:val="single"/>
        </w:rPr>
        <w:t>Nature grammaticale</w:t>
      </w:r>
      <w:r w:rsidR="004953BB">
        <w:rPr>
          <w:bCs/>
        </w:rPr>
        <w:t> :</w:t>
      </w:r>
    </w:p>
    <w:p w14:paraId="2859E461" w14:textId="7DF02FD6" w:rsidR="009B696B" w:rsidRDefault="004953BB" w:rsidP="00293440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Nature </w:t>
      </w:r>
      <w:r w:rsidR="00B40B01">
        <w:rPr>
          <w:bCs/>
        </w:rPr>
        <w:t xml:space="preserve">grammaticale </w:t>
      </w:r>
      <w:r w:rsidR="009B696B" w:rsidRPr="004953BB">
        <w:rPr>
          <w:bCs/>
        </w:rPr>
        <w:t>des identifiants</w:t>
      </w:r>
      <w:r w:rsidR="009B696B">
        <w:rPr>
          <w:bCs/>
        </w:rPr>
        <w:t xml:space="preserve"> : </w:t>
      </w:r>
    </w:p>
    <w:p w14:paraId="3AE48F36" w14:textId="0AB89F80" w:rsidR="009B696B" w:rsidRPr="00A87D98" w:rsidRDefault="009B696B" w:rsidP="00293440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 xml:space="preserve">Types (noms des classes et interfaces) : </w:t>
      </w:r>
      <w:r w:rsidRPr="00E96CB5">
        <w:rPr>
          <w:bCs/>
          <w:highlight w:val="yellow"/>
        </w:rPr>
        <w:t>nom au singulier</w:t>
      </w:r>
      <w:r w:rsidR="00F02087">
        <w:rPr>
          <w:bCs/>
        </w:rPr>
        <w:t>.</w:t>
      </w:r>
      <w:r w:rsidR="00F02087">
        <w:rPr>
          <w:bCs/>
        </w:rPr>
        <w:tab/>
      </w:r>
      <w:r w:rsidR="00F02087">
        <w:rPr>
          <w:bCs/>
        </w:rPr>
        <w:tab/>
      </w:r>
      <w:r w:rsidR="00F02087">
        <w:rPr>
          <w:bCs/>
        </w:rPr>
        <w:tab/>
      </w:r>
      <w:r w:rsidR="00F02087">
        <w:rPr>
          <w:bCs/>
        </w:rPr>
        <w:tab/>
      </w:r>
      <w:r w:rsidR="00F02087">
        <w:rPr>
          <w:bCs/>
        </w:rPr>
        <w:tab/>
        <w:t xml:space="preserve">Exemple : </w:t>
      </w:r>
      <m:oMath>
        <m:r>
          <w:rPr>
            <w:rFonts w:ascii="Cambria Math" w:hAnsi="Cambria Math"/>
          </w:rPr>
          <m:t>String</m:t>
        </m:r>
      </m:oMath>
      <w:r w:rsidR="00F02087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Number</m:t>
        </m:r>
      </m:oMath>
      <w:r w:rsidR="00F02087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List</m:t>
        </m:r>
      </m:oMath>
      <w:r w:rsidR="00A87D9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…</m:t>
        </m:r>
      </m:oMath>
    </w:p>
    <w:p w14:paraId="3AC5C13B" w14:textId="259D56C3" w:rsidR="00A87D98" w:rsidRPr="0014398F" w:rsidRDefault="00A87D98" w:rsidP="00293440">
      <w:pPr>
        <w:pStyle w:val="Paragraphedeliste"/>
        <w:numPr>
          <w:ilvl w:val="2"/>
          <w:numId w:val="1"/>
        </w:numPr>
        <w:rPr>
          <w:bCs/>
        </w:rPr>
      </w:pPr>
      <w:r>
        <w:rPr>
          <w:rFonts w:eastAsiaTheme="minorEastAsia"/>
        </w:rPr>
        <w:t xml:space="preserve">Classes-outil (= conteneur, non </w:t>
      </w:r>
      <w:r w:rsidR="0014398F">
        <w:rPr>
          <w:rFonts w:eastAsiaTheme="minorEastAsia"/>
        </w:rPr>
        <w:t>instanciables</w:t>
      </w:r>
      <w:r>
        <w:rPr>
          <w:rFonts w:eastAsiaTheme="minorEastAsia"/>
        </w:rPr>
        <w:t>, de membres statiques</w:t>
      </w:r>
      <w:r w:rsidR="0014398F">
        <w:rPr>
          <w:rFonts w:eastAsiaTheme="minorEastAsia"/>
        </w:rPr>
        <w:t xml:space="preserve">) : </w:t>
      </w:r>
      <w:r w:rsidR="0014398F" w:rsidRPr="00E96CB5">
        <w:rPr>
          <w:rFonts w:eastAsiaTheme="minorEastAsia"/>
          <w:highlight w:val="yellow"/>
        </w:rPr>
        <w:t>nom au pluriel</w:t>
      </w:r>
      <w:r w:rsidR="0014398F">
        <w:rPr>
          <w:rFonts w:eastAsiaTheme="minorEastAsia"/>
        </w:rPr>
        <w:tab/>
        <w:t xml:space="preserve">Exemple : </w:t>
      </w:r>
      <m:oMath>
        <m:r>
          <w:rPr>
            <w:rFonts w:ascii="Cambria Math" w:eastAsiaTheme="minorEastAsia" w:hAnsi="Cambria Math"/>
          </w:rPr>
          <m:t>Arrays</m:t>
        </m:r>
      </m:oMath>
      <w:r w:rsidR="0014398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Objects</m:t>
        </m:r>
      </m:oMath>
      <w:r w:rsidR="0014398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Collections</m:t>
        </m:r>
      </m:oMath>
      <w:r w:rsidR="0014398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…</m:t>
        </m:r>
      </m:oMath>
    </w:p>
    <w:p w14:paraId="68C56E6A" w14:textId="53150330" w:rsidR="0014398F" w:rsidRPr="00524F9C" w:rsidRDefault="0014398F" w:rsidP="00293440">
      <w:pPr>
        <w:pStyle w:val="Paragraphedeliste"/>
        <w:numPr>
          <w:ilvl w:val="2"/>
          <w:numId w:val="1"/>
        </w:numPr>
        <w:rPr>
          <w:bCs/>
        </w:rPr>
      </w:pPr>
      <w:r>
        <w:rPr>
          <w:rFonts w:eastAsiaTheme="minorEastAsia"/>
        </w:rPr>
        <w:t xml:space="preserve">Variables : </w:t>
      </w:r>
      <w:r w:rsidRPr="00E96CB5">
        <w:rPr>
          <w:rFonts w:eastAsiaTheme="minorEastAsia"/>
          <w:highlight w:val="yellow"/>
        </w:rPr>
        <w:t>Nom</w:t>
      </w:r>
      <w:r>
        <w:rPr>
          <w:rFonts w:eastAsiaTheme="minorEastAsia"/>
        </w:rPr>
        <w:t xml:space="preserve">, </w:t>
      </w:r>
      <w:r w:rsidRPr="00E96CB5">
        <w:rPr>
          <w:rFonts w:eastAsiaTheme="minorEastAsia"/>
          <w:highlight w:val="yellow"/>
        </w:rPr>
        <w:t>singulier</w:t>
      </w:r>
      <w:r>
        <w:rPr>
          <w:rFonts w:eastAsiaTheme="minorEastAsia"/>
        </w:rPr>
        <w:t xml:space="preserve"> sauf pour les collections </w:t>
      </w:r>
      <w:r w:rsidR="00394189">
        <w:rPr>
          <w:rFonts w:eastAsiaTheme="minorEastAsia"/>
        </w:rPr>
        <w:t>(souvent nom pluriel) ; et booléens (souvent</w:t>
      </w:r>
      <w:r w:rsidR="00F90F30">
        <w:rPr>
          <w:rFonts w:eastAsiaTheme="minorEastAsia"/>
        </w:rPr>
        <w:t xml:space="preserve"> adjectif ou verbe au participe présent ou passé </w:t>
      </w:r>
    </w:p>
    <w:p w14:paraId="1289EF2F" w14:textId="05135B8D" w:rsidR="00524F9C" w:rsidRDefault="00524F9C" w:rsidP="00293440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 nom des méthodes </w:t>
      </w:r>
      <w:r w:rsidR="00545CD9">
        <w:rPr>
          <w:rFonts w:eastAsiaTheme="minorEastAsia"/>
        </w:rPr>
        <w:t>contienne</w:t>
      </w:r>
      <w:r>
        <w:rPr>
          <w:rFonts w:eastAsiaTheme="minorEastAsia"/>
        </w:rPr>
        <w:t xml:space="preserve"> généralement </w:t>
      </w:r>
      <w:r w:rsidRPr="00A802FE">
        <w:rPr>
          <w:rFonts w:eastAsiaTheme="minorEastAsia"/>
          <w:b/>
          <w:bCs/>
        </w:rPr>
        <w:t>un verbe</w:t>
      </w:r>
      <w:r w:rsidR="00545CD9">
        <w:rPr>
          <w:rFonts w:eastAsiaTheme="minorEastAsia"/>
        </w:rPr>
        <w:t xml:space="preserve">, qui est : </w:t>
      </w:r>
    </w:p>
    <w:p w14:paraId="46DABF13" w14:textId="75398246" w:rsidR="00545CD9" w:rsidRPr="00B60095" w:rsidRDefault="00545CD9" w:rsidP="00293440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  <w:highlight w:val="yellow"/>
          </w:rPr>
          <m:t>get</m:t>
        </m:r>
      </m:oMath>
      <w:r>
        <w:rPr>
          <w:rFonts w:eastAsiaTheme="minorEastAsia"/>
          <w:bCs/>
        </w:rPr>
        <w:t xml:space="preserve"> Si c’est </w:t>
      </w:r>
      <w:r w:rsidR="00B60095">
        <w:rPr>
          <w:rFonts w:eastAsiaTheme="minorEastAsia"/>
          <w:bCs/>
        </w:rPr>
        <w:t>un accesseur</w:t>
      </w:r>
      <w:r>
        <w:rPr>
          <w:rFonts w:eastAsiaTheme="minorEastAsia"/>
          <w:bCs/>
        </w:rPr>
        <w:t xml:space="preserve"> en lecture (« getteur »)</w:t>
      </w:r>
      <w:r w:rsidR="00D556EF">
        <w:rPr>
          <w:rFonts w:eastAsiaTheme="minorEastAsia"/>
          <w:bCs/>
        </w:rPr>
        <w:t> :</w:t>
      </w:r>
      <w:r w:rsidR="0052697A">
        <w:rPr>
          <w:rFonts w:eastAsiaTheme="minorEastAsia"/>
          <w:bCs/>
        </w:rPr>
        <w:t xml:space="preserve"> ex</w:t>
      </w:r>
      <w:r w:rsidR="00D556EF">
        <w:rPr>
          <w:rFonts w:eastAsiaTheme="minorEastAsia"/>
          <w:bCs/>
        </w:rPr>
        <w:t>,</w:t>
      </w:r>
      <w:r w:rsidR="0052697A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String getName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52697A">
        <w:rPr>
          <w:rFonts w:eastAsiaTheme="minorEastAsia"/>
          <w:bCs/>
        </w:rPr>
        <w:t xml:space="preserve"> ;</w:t>
      </w:r>
    </w:p>
    <w:p w14:paraId="3FFF22FA" w14:textId="3CF86EEF" w:rsidR="00B60095" w:rsidRPr="005A16FD" w:rsidRDefault="00B60095" w:rsidP="00293440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  <w:highlight w:val="yellow"/>
          </w:rPr>
          <m:t>is</m:t>
        </m:r>
      </m:oMath>
      <w:r>
        <w:rPr>
          <w:rFonts w:eastAsiaTheme="minorEastAsia"/>
          <w:bCs/>
        </w:rPr>
        <w:t xml:space="preserve"> Si c’est un accesseur en lecture d’une propriété booléenne : </w:t>
      </w:r>
      <w:r w:rsidR="00D556EF">
        <w:rPr>
          <w:rFonts w:eastAsiaTheme="minorEastAsia"/>
          <w:bCs/>
        </w:rPr>
        <w:t xml:space="preserve">ex, </w:t>
      </w:r>
      <m:oMath>
        <m:r>
          <w:rPr>
            <w:rFonts w:ascii="Cambria Math" w:eastAsiaTheme="minorEastAsia" w:hAnsi="Cambria Math"/>
          </w:rPr>
          <m:t>isInitialized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D556EF">
        <w:rPr>
          <w:rFonts w:eastAsiaTheme="minorEastAsia"/>
          <w:bCs/>
        </w:rPr>
        <w:t xml:space="preserve"> ;</w:t>
      </w:r>
    </w:p>
    <w:p w14:paraId="3D904BE8" w14:textId="699FD065" w:rsidR="005A16FD" w:rsidRPr="00C2269A" w:rsidRDefault="005A16FD" w:rsidP="00293440">
      <w:pPr>
        <w:pStyle w:val="Paragraphedeliste"/>
        <w:numPr>
          <w:ilvl w:val="2"/>
          <w:numId w:val="1"/>
        </w:numPr>
        <w:rPr>
          <w:bCs/>
        </w:rPr>
      </w:pPr>
      <m:oMath>
        <m:r>
          <w:rPr>
            <w:rFonts w:ascii="Cambria Math" w:hAnsi="Cambria Math"/>
            <w:highlight w:val="yellow"/>
          </w:rPr>
          <m:t>set</m:t>
        </m:r>
      </m:oMath>
      <w:r>
        <w:rPr>
          <w:rFonts w:eastAsiaTheme="minorEastAsia"/>
          <w:bCs/>
        </w:rPr>
        <w:t xml:space="preserve"> Si c’est un accesseur en écriture (« </w:t>
      </w:r>
      <w:r w:rsidR="00C2269A">
        <w:rPr>
          <w:rFonts w:eastAsiaTheme="minorEastAsia"/>
          <w:bCs/>
        </w:rPr>
        <w:t xml:space="preserve">setter ») ex : </w:t>
      </w:r>
      <m:oMath>
        <m:r>
          <w:rPr>
            <w:rFonts w:ascii="Cambria Math" w:eastAsiaTheme="minorEastAsia" w:hAnsi="Cambria Math"/>
          </w:rPr>
          <m:t>void getName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 name</m:t>
            </m:r>
          </m:e>
        </m:d>
      </m:oMath>
      <w:r w:rsidR="00C2269A">
        <w:rPr>
          <w:rFonts w:eastAsiaTheme="minorEastAsia"/>
          <w:bCs/>
        </w:rPr>
        <w:t> ;</w:t>
      </w:r>
    </w:p>
    <w:p w14:paraId="3AC8E085" w14:textId="26B79868" w:rsidR="00C2269A" w:rsidRDefault="00C2269A" w:rsidP="00293440">
      <w:pPr>
        <w:pStyle w:val="Paragraphedeliste"/>
        <w:numPr>
          <w:ilvl w:val="2"/>
          <w:numId w:val="1"/>
        </w:numPr>
        <w:rPr>
          <w:bCs/>
        </w:rPr>
      </w:pPr>
      <w:r>
        <w:rPr>
          <w:bCs/>
        </w:rPr>
        <w:t xml:space="preserve">Toute </w:t>
      </w:r>
      <w:r w:rsidRPr="004962B6">
        <w:rPr>
          <w:bCs/>
          <w:highlight w:val="yellow"/>
        </w:rPr>
        <w:t>autre verbe</w:t>
      </w:r>
      <w:r w:rsidR="00ED026E" w:rsidRPr="004962B6">
        <w:rPr>
          <w:bCs/>
          <w:highlight w:val="yellow"/>
        </w:rPr>
        <w:t>, à l’indicatif</w:t>
      </w:r>
      <w:r w:rsidR="00ED026E">
        <w:rPr>
          <w:bCs/>
        </w:rPr>
        <w:t xml:space="preserve">, si la méthode retourne </w:t>
      </w:r>
      <w:r w:rsidR="00ED026E" w:rsidRPr="004962B6">
        <w:rPr>
          <w:bCs/>
          <w:highlight w:val="yellow"/>
        </w:rPr>
        <w:t>un booléen</w:t>
      </w:r>
      <w:r w:rsidR="00ED026E">
        <w:rPr>
          <w:bCs/>
        </w:rPr>
        <w:t xml:space="preserve"> (méthode prédicat) ;</w:t>
      </w:r>
    </w:p>
    <w:p w14:paraId="01270BED" w14:textId="4C98A2A3" w:rsidR="00ED026E" w:rsidRPr="00111798" w:rsidRDefault="00ED026E" w:rsidP="00293440">
      <w:pPr>
        <w:pStyle w:val="Paragraphedeliste"/>
        <w:numPr>
          <w:ilvl w:val="2"/>
          <w:numId w:val="1"/>
        </w:numPr>
        <w:rPr>
          <w:bCs/>
        </w:rPr>
      </w:pPr>
      <w:r w:rsidRPr="004962B6">
        <w:rPr>
          <w:bCs/>
          <w:highlight w:val="yellow"/>
        </w:rPr>
        <w:t>A l’impératif</w:t>
      </w:r>
      <w:r w:rsidR="00111798">
        <w:rPr>
          <w:bCs/>
        </w:rPr>
        <w:t xml:space="preserve">, si la méthode effectue une action avec effet de bord, </w:t>
      </w:r>
      <m:oMath>
        <m:r>
          <w:rPr>
            <w:rFonts w:ascii="Cambria Math" w:hAnsi="Cambria Math"/>
          </w:rPr>
          <m:t>Arrays.sort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myArray</m:t>
            </m:r>
          </m:e>
        </m:d>
      </m:oMath>
      <w:r w:rsidR="00111798">
        <w:rPr>
          <w:rFonts w:eastAsiaTheme="minorEastAsia"/>
          <w:bCs/>
        </w:rPr>
        <w:t> ;</w:t>
      </w:r>
    </w:p>
    <w:p w14:paraId="333E549E" w14:textId="44600C57" w:rsidR="00111798" w:rsidRPr="003F2AD0" w:rsidRDefault="00111798" w:rsidP="00293440">
      <w:pPr>
        <w:pStyle w:val="Paragraphedeliste"/>
        <w:numPr>
          <w:ilvl w:val="2"/>
          <w:numId w:val="1"/>
        </w:numPr>
        <w:rPr>
          <w:bCs/>
        </w:rPr>
      </w:pPr>
      <w:r w:rsidRPr="004962B6">
        <w:rPr>
          <w:bCs/>
          <w:highlight w:val="yellow"/>
        </w:rPr>
        <w:t>Au participe passé</w:t>
      </w:r>
      <w:r w:rsidR="003B354A">
        <w:rPr>
          <w:bCs/>
        </w:rPr>
        <w:t xml:space="preserve"> si la méthode </w:t>
      </w:r>
      <w:r w:rsidR="006D7AA6">
        <w:rPr>
          <w:bCs/>
        </w:rPr>
        <w:t>retourne une version transformée de l’objet sans modifier l’objet</w:t>
      </w:r>
      <w:r w:rsidR="003F2AD0">
        <w:rPr>
          <w:bCs/>
        </w:rPr>
        <w:t xml:space="preserve"> (ex, </w:t>
      </w:r>
      <m:oMath>
        <m:r>
          <w:rPr>
            <w:rFonts w:ascii="Cambria Math" w:hAnsi="Cambria Math"/>
          </w:rPr>
          <m:t>list.sorted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3F2AD0">
        <w:rPr>
          <w:rFonts w:eastAsiaTheme="minorEastAsia"/>
          <w:bCs/>
        </w:rPr>
        <w:t>).</w:t>
      </w:r>
    </w:p>
    <w:p w14:paraId="5934964C" w14:textId="45A5DCFC" w:rsidR="003F2AD0" w:rsidRDefault="004962B6" w:rsidP="004962B6">
      <w:pPr>
        <w:pStyle w:val="Paragraphedeliste"/>
        <w:numPr>
          <w:ilvl w:val="0"/>
          <w:numId w:val="1"/>
        </w:numPr>
        <w:rPr>
          <w:bCs/>
        </w:rPr>
      </w:pPr>
      <w:r w:rsidRPr="004B51C7">
        <w:rPr>
          <w:bCs/>
          <w:u w:val="single"/>
        </w:rPr>
        <w:lastRenderedPageBreak/>
        <w:t>Concision vs information</w:t>
      </w:r>
      <w:r>
        <w:rPr>
          <w:bCs/>
        </w:rPr>
        <w:t> :</w:t>
      </w:r>
    </w:p>
    <w:p w14:paraId="686D992B" w14:textId="44B4388C" w:rsidR="00541ADC" w:rsidRDefault="00541ADC" w:rsidP="00541ADC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Pour tout identificateur, il faut trouver le bon compromis</w:t>
      </w:r>
      <w:r w:rsidR="00904254">
        <w:rPr>
          <w:bCs/>
        </w:rPr>
        <w:t xml:space="preserve"> entre information (plus long) et facilité à l’écrire (plus court) ;</w:t>
      </w:r>
    </w:p>
    <w:p w14:paraId="4EE61F97" w14:textId="7041AB50" w:rsidR="00293440" w:rsidRPr="00E63B4E" w:rsidRDefault="00293440" w:rsidP="00541ADC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Plus l’usage est fréquent</w:t>
      </w:r>
      <w:r w:rsidR="00DE5C4C">
        <w:rPr>
          <w:bCs/>
        </w:rPr>
        <w:t xml:space="preserve"> et local, plus le nom est court</w:t>
      </w:r>
      <w:r w:rsidR="00045C57">
        <w:rPr>
          <w:bCs/>
        </w:rPr>
        <w:t xml:space="preserve">, exemple types, variable de boucle : </w:t>
      </w:r>
      <m:oMath>
        <m:r>
          <w:rPr>
            <w:rFonts w:ascii="Cambria Math" w:hAnsi="Cambria Math"/>
          </w:rPr>
          <m:t>for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int idx=0;idx&lt;anArray.length;idx++</m:t>
            </m:r>
          </m:e>
        </m:d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…</m:t>
            </m:r>
          </m:e>
        </m:d>
        <m:r>
          <w:rPr>
            <w:rFonts w:ascii="Cambria Math" w:hAnsi="Cambria Math"/>
          </w:rPr>
          <m:t> </m:t>
        </m:r>
      </m:oMath>
      <w:r w:rsidR="00E63B4E">
        <w:rPr>
          <w:rFonts w:eastAsiaTheme="minorEastAsia"/>
          <w:bCs/>
        </w:rPr>
        <w:t>;</w:t>
      </w:r>
    </w:p>
    <w:p w14:paraId="5A50E800" w14:textId="7FFDC627" w:rsidR="00E63B4E" w:rsidRPr="00DE4065" w:rsidRDefault="00E63B4E" w:rsidP="00541ADC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Plus l’</w:t>
      </w:r>
      <w:r w:rsidR="0051016A">
        <w:rPr>
          <w:rFonts w:eastAsiaTheme="minorEastAsia"/>
          <w:bCs/>
        </w:rPr>
        <w:t>usage</w:t>
      </w:r>
      <w:r>
        <w:rPr>
          <w:rFonts w:eastAsiaTheme="minorEastAsia"/>
          <w:bCs/>
        </w:rPr>
        <w:t xml:space="preserve"> est loin de la déclaration, plus le nom doit être informatif. (</w:t>
      </w:r>
      <w:r w:rsidR="00DE4065">
        <w:rPr>
          <w:rFonts w:eastAsiaTheme="minorEastAsia"/>
          <w:bCs/>
        </w:rPr>
        <w:t>Concerne</w:t>
      </w:r>
      <w:r>
        <w:rPr>
          <w:rFonts w:eastAsiaTheme="minorEastAsia"/>
          <w:bCs/>
        </w:rPr>
        <w:t xml:space="preserve"> </w:t>
      </w:r>
      <w:r w:rsidR="00DE4065">
        <w:rPr>
          <w:rFonts w:eastAsiaTheme="minorEastAsia"/>
          <w:bCs/>
        </w:rPr>
        <w:t>notamment : classes, membres, publics… mais aussi les paramètres des méthodes !)</w:t>
      </w:r>
    </w:p>
    <w:p w14:paraId="64C44807" w14:textId="77777777" w:rsidR="006A01A7" w:rsidRDefault="006A01A7" w:rsidP="00BD5A00">
      <w:pPr>
        <w:jc w:val="center"/>
        <w:rPr>
          <w:b/>
          <w:color w:val="EE0000"/>
          <w:u w:val="single"/>
        </w:rPr>
      </w:pPr>
    </w:p>
    <w:p w14:paraId="3FDE0846" w14:textId="77777777" w:rsidR="006A01A7" w:rsidRDefault="006A01A7" w:rsidP="00BD5A00">
      <w:pPr>
        <w:jc w:val="center"/>
        <w:rPr>
          <w:b/>
          <w:color w:val="EE0000"/>
          <w:u w:val="single"/>
        </w:rPr>
      </w:pPr>
    </w:p>
    <w:p w14:paraId="084D448F" w14:textId="590C1713" w:rsidR="00DE4065" w:rsidRPr="00BD5A00" w:rsidRDefault="00BD5A00" w:rsidP="00BD5A00">
      <w:pPr>
        <w:jc w:val="center"/>
        <w:rPr>
          <w:b/>
          <w:color w:val="EE0000"/>
          <w:u w:val="single"/>
        </w:rPr>
      </w:pPr>
      <w:r w:rsidRPr="00BD5A00">
        <w:rPr>
          <w:b/>
          <w:color w:val="EE0000"/>
          <w:u w:val="single"/>
        </w:rPr>
        <w:t xml:space="preserve">Métrique </w:t>
      </w:r>
    </w:p>
    <w:p w14:paraId="51CBC2D8" w14:textId="237E053C" w:rsidR="009B480A" w:rsidRPr="009A6D36" w:rsidRDefault="009B480A" w:rsidP="00BD6007">
      <w:pPr>
        <w:rPr>
          <w:b/>
        </w:rPr>
      </w:pPr>
      <w:r w:rsidRPr="009A6D36">
        <w:rPr>
          <w:b/>
        </w:rPr>
        <w:t>Nombre de caractères par ligne</w:t>
      </w:r>
    </w:p>
    <w:p w14:paraId="135008CB" w14:textId="30EC329C" w:rsidR="007C56EA" w:rsidRDefault="007C56EA" w:rsidP="007C56EA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On limite généralement </w:t>
      </w:r>
      <w:r w:rsidR="00684BCA">
        <w:rPr>
          <w:bCs/>
        </w:rPr>
        <w:t xml:space="preserve">le nombre de caractères par lignes de code. Raisons : </w:t>
      </w:r>
    </w:p>
    <w:p w14:paraId="6EE9D6C7" w14:textId="1FE688AF" w:rsidR="00684BCA" w:rsidRDefault="00684BCA" w:rsidP="00684BCA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Tous les programmes</w:t>
      </w:r>
      <w:r w:rsidR="008241E3">
        <w:rPr>
          <w:bCs/>
        </w:rPr>
        <w:t xml:space="preserve"> n’utilisent pas le retour à la ligne automatique ;</w:t>
      </w:r>
    </w:p>
    <w:p w14:paraId="774AD410" w14:textId="2DDB666A" w:rsidR="008241E3" w:rsidRDefault="008241E3" w:rsidP="00684BCA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La coupure automatique ne se fait pas forcément au meilleur endroit ;</w:t>
      </w:r>
    </w:p>
    <w:p w14:paraId="4E260874" w14:textId="47D4F29F" w:rsidR="008241E3" w:rsidRDefault="008241E3" w:rsidP="00684BCA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Les longues lignes </w:t>
      </w:r>
      <w:r w:rsidR="00210551">
        <w:rPr>
          <w:bCs/>
        </w:rPr>
        <w:t>illisibles dans le cerveau humain (même si entièrement affichées) ;</w:t>
      </w:r>
    </w:p>
    <w:p w14:paraId="13ECA187" w14:textId="12F844C7" w:rsidR="00210551" w:rsidRDefault="00455603" w:rsidP="00684BCA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Certains programmeurs aiment pouvoir </w:t>
      </w:r>
      <w:r w:rsidR="00C928C1">
        <w:rPr>
          <w:bCs/>
        </w:rPr>
        <w:t>afficher</w:t>
      </w:r>
      <w:r>
        <w:rPr>
          <w:bCs/>
        </w:rPr>
        <w:t xml:space="preserve"> 2 fenêtres côte à côte ;</w:t>
      </w:r>
    </w:p>
    <w:p w14:paraId="04E79CA9" w14:textId="7EBF673A" w:rsidR="00455603" w:rsidRPr="00111A6A" w:rsidRDefault="00455603" w:rsidP="00684BCA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Les </w:t>
      </w:r>
      <w:r w:rsidR="00C64B09">
        <w:rPr>
          <w:bCs/>
        </w:rPr>
        <w:t xml:space="preserve">« diffs » sont plus lisible </w:t>
      </w:r>
      <w:r w:rsidR="00111A6A">
        <w:rPr>
          <w:bCs/>
        </w:rPr>
        <w:t xml:space="preserve">(ex, commande </w:t>
      </w:r>
      <m:oMath>
        <m:r>
          <w:rPr>
            <w:rFonts w:ascii="Cambria Math" w:hAnsi="Cambria Math"/>
          </w:rPr>
          <m:t>git diff</m:t>
        </m:r>
      </m:oMath>
      <w:r w:rsidR="00111A6A">
        <w:rPr>
          <w:rFonts w:eastAsiaTheme="minorEastAsia"/>
          <w:bCs/>
        </w:rPr>
        <w:t>).</w:t>
      </w:r>
    </w:p>
    <w:p w14:paraId="6DFFD9F2" w14:textId="02C2C187" w:rsidR="009A6D36" w:rsidRPr="009A6D36" w:rsidRDefault="00111A6A" w:rsidP="009A6D36">
      <w:pPr>
        <w:pStyle w:val="Paragraphedeliste"/>
        <w:numPr>
          <w:ilvl w:val="0"/>
          <w:numId w:val="1"/>
        </w:numPr>
        <w:rPr>
          <w:bCs/>
        </w:rPr>
      </w:pPr>
      <w:r>
        <w:rPr>
          <w:rFonts w:eastAsiaTheme="minorEastAsia"/>
          <w:bCs/>
        </w:rPr>
        <w:t>Limite traditionnelle : 70 caractères/ligne</w:t>
      </w:r>
      <w:r w:rsidR="00642095">
        <w:rPr>
          <w:rFonts w:eastAsiaTheme="minorEastAsia"/>
          <w:bCs/>
        </w:rPr>
        <w:t>, (les vieux terminaux avaient 80 colonnes</w:t>
      </w:r>
      <w:r w:rsidR="009A6D36">
        <w:rPr>
          <w:rFonts w:eastAsiaTheme="minorEastAsia"/>
          <w:bCs/>
        </w:rPr>
        <w:t xml:space="preserve">). </w:t>
      </w:r>
      <w:r w:rsidR="009A6D36">
        <w:rPr>
          <w:rFonts w:eastAsiaTheme="minorEastAsia"/>
          <w:bCs/>
        </w:rPr>
        <w:tab/>
      </w:r>
      <w:r w:rsidR="009A6D36">
        <w:rPr>
          <w:rFonts w:eastAsiaTheme="minorEastAsia"/>
          <w:bCs/>
        </w:rPr>
        <w:tab/>
        <w:t>De nos jours (écran large, haute résolution), 100-120 est plus raisonnable.</w:t>
      </w:r>
    </w:p>
    <w:p w14:paraId="190A5037" w14:textId="17A0B545" w:rsidR="009A6D36" w:rsidRDefault="00C928C1" w:rsidP="009A6D36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Arguments contre des lignes trop petites :</w:t>
      </w:r>
    </w:p>
    <w:p w14:paraId="1B97A780" w14:textId="0796FDD4" w:rsidR="00C928C1" w:rsidRDefault="00C928C1" w:rsidP="00C928C1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Découpage trop élémentaire rendant illisible l’intention globale du programme ;</w:t>
      </w:r>
    </w:p>
    <w:p w14:paraId="2B315E54" w14:textId="1498529A" w:rsidR="005F6942" w:rsidRPr="005F6942" w:rsidRDefault="00C928C1" w:rsidP="005F6942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Incitation à utiliser </w:t>
      </w:r>
      <w:r w:rsidR="00DD6FC3">
        <w:rPr>
          <w:bCs/>
        </w:rPr>
        <w:t xml:space="preserve">des identifiant plus courts pour pouvoir </w:t>
      </w:r>
      <w:r w:rsidR="005F6942">
        <w:rPr>
          <w:bCs/>
        </w:rPr>
        <w:t>écrire ce qu’on veut en une ligne (</w:t>
      </w:r>
      <w:r w:rsidR="005F6942" w:rsidRPr="005F6942">
        <w:rPr>
          <w:bCs/>
        </w:rPr>
        <w:sym w:font="Wingdings" w:char="F0E0"/>
      </w:r>
      <w:r w:rsidR="005F6942">
        <w:rPr>
          <w:bCs/>
        </w:rPr>
        <w:t xml:space="preserve"> identifiants peu informatifs, mauvaise pratique).</w:t>
      </w:r>
    </w:p>
    <w:p w14:paraId="21EAFEB0" w14:textId="42BE1816" w:rsidR="00A27FB5" w:rsidRPr="004B61F1" w:rsidRDefault="00A27FB5" w:rsidP="00BD6007">
      <w:pPr>
        <w:rPr>
          <w:b/>
        </w:rPr>
      </w:pPr>
      <w:r w:rsidRPr="004B61F1">
        <w:rPr>
          <w:b/>
        </w:rPr>
        <w:t>Indentation</w:t>
      </w:r>
    </w:p>
    <w:p w14:paraId="4278033D" w14:textId="6CC583B9" w:rsidR="007B5BA6" w:rsidRDefault="007B5BA6" w:rsidP="007B5BA6">
      <w:pPr>
        <w:pStyle w:val="Paragraphedeliste"/>
        <w:numPr>
          <w:ilvl w:val="0"/>
          <w:numId w:val="1"/>
        </w:numPr>
        <w:rPr>
          <w:bCs/>
        </w:rPr>
      </w:pPr>
      <w:r w:rsidRPr="004B61F1">
        <w:rPr>
          <w:b/>
        </w:rPr>
        <w:t>Indenter</w:t>
      </w:r>
      <w:r>
        <w:rPr>
          <w:bCs/>
        </w:rPr>
        <w:t xml:space="preserve"> = Mettre du blanc en tête </w:t>
      </w:r>
      <w:r w:rsidR="000B6F82">
        <w:rPr>
          <w:bCs/>
        </w:rPr>
        <w:t>de ligne pour souligner la structure du programme. Ce blanc est constitué</w:t>
      </w:r>
      <w:r w:rsidR="00E67EA0">
        <w:rPr>
          <w:bCs/>
        </w:rPr>
        <w:t xml:space="preserve"> d’un certain nombre </w:t>
      </w:r>
      <w:r w:rsidR="00E67EA0" w:rsidRPr="004B61F1">
        <w:rPr>
          <w:b/>
        </w:rPr>
        <w:t>d’indentations</w:t>
      </w:r>
      <w:r w:rsidR="00E67EA0">
        <w:rPr>
          <w:bCs/>
        </w:rPr>
        <w:t> ;</w:t>
      </w:r>
    </w:p>
    <w:p w14:paraId="77C17990" w14:textId="7682C298" w:rsidR="00E67EA0" w:rsidRDefault="00E67EA0" w:rsidP="007B5BA6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En Java, typiquement</w:t>
      </w:r>
      <w:r w:rsidR="003F1F98">
        <w:rPr>
          <w:bCs/>
        </w:rPr>
        <w:t>, 1 indentation = 4 espaces (ou 1 tabulation) ;</w:t>
      </w:r>
    </w:p>
    <w:p w14:paraId="1706E68A" w14:textId="4BFB7DB0" w:rsidR="003F1F98" w:rsidRPr="000C65E6" w:rsidRDefault="003F1F98" w:rsidP="007B5BA6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Le nombre d’indentations est égal à la profondeur syntaxique du début de la ligne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  <w:bCs/>
        </w:rPr>
        <w:t xml:space="preserve"> nombre </w:t>
      </w:r>
      <w:r w:rsidR="000C65E6">
        <w:rPr>
          <w:rFonts w:eastAsiaTheme="minorEastAsia"/>
          <w:bCs/>
        </w:rPr>
        <w:t>de paires de symboles ouvertes mais pas encore fermées ;</w:t>
      </w:r>
    </w:p>
    <w:p w14:paraId="68B15EAA" w14:textId="3828BDDB" w:rsidR="004B61F1" w:rsidRPr="004B61F1" w:rsidRDefault="000C65E6" w:rsidP="004B61F1">
      <w:pPr>
        <w:pStyle w:val="Paragraphedeliste"/>
        <w:numPr>
          <w:ilvl w:val="0"/>
          <w:numId w:val="1"/>
        </w:numPr>
        <w:rPr>
          <w:bCs/>
        </w:rPr>
      </w:pPr>
      <w:r>
        <w:rPr>
          <w:rFonts w:eastAsiaTheme="minorEastAsia"/>
          <w:bCs/>
        </w:rPr>
        <w:t>Tout éditeur</w:t>
      </w:r>
      <w:r w:rsidR="00A14B7C">
        <w:rPr>
          <w:rFonts w:eastAsiaTheme="minorEastAsia"/>
          <w:bCs/>
        </w:rPr>
        <w:t xml:space="preserve"> raisonnablement évolué sait indenter automatiquement </w:t>
      </w:r>
      <w:r w:rsidR="00E067A1">
        <w:rPr>
          <w:rFonts w:eastAsiaTheme="minorEastAsia"/>
          <w:bCs/>
        </w:rPr>
        <w:t>(règles paramétrables dans l’éditeur)</w:t>
      </w:r>
      <w:r w:rsidR="00830602">
        <w:rPr>
          <w:rFonts w:eastAsiaTheme="minorEastAsia"/>
          <w:bCs/>
        </w:rPr>
        <w:t>. Pensez à demander régulièrement l’indentation automatique, afin de vérifier qu’il n’y a pas d’erreur de structure !</w:t>
      </w:r>
    </w:p>
    <w:p w14:paraId="00165ED7" w14:textId="43FD4B15" w:rsidR="00EE66C1" w:rsidRPr="00AC29CD" w:rsidRDefault="00EE66C1" w:rsidP="00BD6007">
      <w:pPr>
        <w:rPr>
          <w:b/>
        </w:rPr>
      </w:pPr>
      <w:r w:rsidRPr="00AC29CD">
        <w:rPr>
          <w:b/>
        </w:rPr>
        <w:t>Ou couper les lignes</w:t>
      </w:r>
    </w:p>
    <w:p w14:paraId="6F8F4AC0" w14:textId="72C38727" w:rsidR="004B61F1" w:rsidRDefault="004B61F1" w:rsidP="004B61F1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On essaye de privilégier </w:t>
      </w:r>
      <w:r w:rsidR="001C2720">
        <w:rPr>
          <w:bCs/>
        </w:rPr>
        <w:t xml:space="preserve">les retours </w:t>
      </w:r>
      <w:r w:rsidR="00ED5BFD">
        <w:rPr>
          <w:bCs/>
        </w:rPr>
        <w:t>à la ligne</w:t>
      </w:r>
      <w:r w:rsidR="001C2720">
        <w:rPr>
          <w:bCs/>
        </w:rPr>
        <w:t xml:space="preserve"> en des points du programme « hauts »dans l’arbre</w:t>
      </w:r>
      <w:r w:rsidR="004917EE">
        <w:rPr>
          <w:bCs/>
        </w:rPr>
        <w:t xml:space="preserve"> syntaxique (</w:t>
      </w:r>
      <w:r w:rsidR="004917EE" w:rsidRPr="004917EE">
        <w:rPr>
          <w:bCs/>
        </w:rPr>
        <w:sym w:font="Wingdings" w:char="F0E0"/>
      </w:r>
      <w:r w:rsidR="004917EE">
        <w:rPr>
          <w:bCs/>
        </w:rPr>
        <w:t xml:space="preserve"> Minimise la taille de l’indentation) ;</w:t>
      </w:r>
    </w:p>
    <w:p w14:paraId="7DF6146D" w14:textId="77777777" w:rsidR="00B74DCC" w:rsidRDefault="00ED5BFD" w:rsidP="0058445E">
      <w:pPr>
        <w:pStyle w:val="Paragraphedeliste"/>
        <w:rPr>
          <w:rFonts w:eastAsiaTheme="minorEastAsia"/>
          <w:bCs/>
        </w:rPr>
      </w:pPr>
      <w:r>
        <w:rPr>
          <w:bCs/>
        </w:rPr>
        <w:t>Ex,</w:t>
      </w:r>
      <w:r w:rsidR="0058445E">
        <w:rPr>
          <w:bCs/>
        </w:rPr>
        <w:t xml:space="preserve"> dans « dans </w:t>
      </w:r>
      <m:oMath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3-9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Theme="minorEastAsia"/>
          <w:bCs/>
        </w:rPr>
        <w:t> », on préfèrera couper à côté de « </w:t>
      </w:r>
      <m:oMath>
        <m:r>
          <w:rPr>
            <w:rFonts w:ascii="Cambria Math" w:eastAsiaTheme="minorEastAsia" w:hAnsi="Cambria Math"/>
          </w:rPr>
          <m:t>*</m:t>
        </m:r>
      </m:oMath>
      <w:r>
        <w:rPr>
          <w:rFonts w:eastAsiaTheme="minorEastAsia"/>
          <w:bCs/>
        </w:rPr>
        <w:t> »</w:t>
      </w:r>
      <w:r w:rsidR="00AC10A2">
        <w:rPr>
          <w:rFonts w:eastAsiaTheme="minorEastAsia"/>
          <w:bCs/>
        </w:rPr>
        <w:t xml:space="preserve"> </w:t>
      </w:r>
      <w:r w:rsidR="00AC10A2" w:rsidRPr="00AC10A2">
        <w:rPr>
          <w:rFonts w:eastAsiaTheme="minorEastAsia"/>
          <w:bCs/>
        </w:rPr>
        <w:sym w:font="Wingdings" w:char="F0E0"/>
      </w:r>
      <w:r w:rsidR="00AC10A2">
        <w:rPr>
          <w:rFonts w:eastAsiaTheme="minorEastAsia"/>
          <w:bCs/>
        </w:rPr>
        <w:t xml:space="preserve"> </w:t>
      </w:r>
      <w:r w:rsidR="00AC10A2">
        <w:rPr>
          <w:rFonts w:eastAsiaTheme="minorEastAsia"/>
          <w:bCs/>
        </w:rPr>
        <w:tab/>
      </w:r>
      <m:oMath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</m:oMath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w:r w:rsidR="00AC10A2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3-9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/</m:t>
            </m:r>
            <m:r>
              <w:rPr>
                <w:rFonts w:ascii="Cambria Math" w:eastAsiaTheme="minorEastAsia" w:hAnsi="Cambria Math"/>
              </w:rPr>
              <m:t>2</m:t>
            </m:r>
          </m:e>
        </m:d>
      </m:oMath>
      <w:r w:rsidR="00B74DCC">
        <w:rPr>
          <w:rFonts w:eastAsiaTheme="minorEastAsia"/>
          <w:bCs/>
        </w:rPr>
        <w:t>.</w:t>
      </w:r>
    </w:p>
    <w:p w14:paraId="1E82B28F" w14:textId="77777777" w:rsidR="00EF013B" w:rsidRPr="00EF013B" w:rsidRDefault="00B74DCC" w:rsidP="00B74DCC">
      <w:pPr>
        <w:pStyle w:val="Paragraphedeliste"/>
        <w:numPr>
          <w:ilvl w:val="0"/>
          <w:numId w:val="1"/>
        </w:numPr>
        <w:rPr>
          <w:bCs/>
        </w:rPr>
      </w:pPr>
      <w:r>
        <w:rPr>
          <w:rFonts w:eastAsiaTheme="minorEastAsia"/>
          <w:bCs/>
        </w:rPr>
        <w:t xml:space="preserve">Parfois difficile à concilier avec la limite de caractères par ligne </w:t>
      </w:r>
      <w:r w:rsidRPr="00B74DCC">
        <w:rPr>
          <w:rFonts w:eastAsiaTheme="minorEastAsia"/>
          <w:bCs/>
        </w:rPr>
        <w:sym w:font="Wingdings" w:char="F0E0"/>
      </w:r>
      <w:r>
        <w:rPr>
          <w:rFonts w:eastAsiaTheme="minorEastAsia"/>
          <w:bCs/>
        </w:rPr>
        <w:t xml:space="preserve"> Compromis nécessaire</w:t>
      </w:r>
      <w:r w:rsidR="00EF013B">
        <w:rPr>
          <w:rFonts w:eastAsiaTheme="minorEastAsia"/>
          <w:bCs/>
        </w:rPr>
        <w:t> ;</w:t>
      </w:r>
    </w:p>
    <w:p w14:paraId="350254BA" w14:textId="03690EAD" w:rsidR="004917EE" w:rsidRPr="006A01A7" w:rsidRDefault="00EF013B" w:rsidP="006A01A7">
      <w:pPr>
        <w:pStyle w:val="Paragraphedeliste"/>
        <w:numPr>
          <w:ilvl w:val="0"/>
          <w:numId w:val="1"/>
        </w:numPr>
        <w:rPr>
          <w:bCs/>
        </w:rPr>
      </w:pPr>
      <w:r w:rsidRPr="00EF013B">
        <w:rPr>
          <w:rFonts w:eastAsiaTheme="minorEastAsia"/>
          <w:bCs/>
        </w:rPr>
        <w:sym w:font="Wingdings" w:char="F0E0"/>
      </w:r>
      <w:r>
        <w:rPr>
          <w:rFonts w:eastAsiaTheme="minorEastAsia"/>
          <w:bCs/>
        </w:rPr>
        <w:t xml:space="preserve"> Pour le lieu de coupure et le style d’indentation, essayer juste d’être </w:t>
      </w:r>
      <w:r w:rsidR="006A01A7">
        <w:rPr>
          <w:rFonts w:eastAsiaTheme="minorEastAsia"/>
          <w:bCs/>
        </w:rPr>
        <w:t>raisonnable et consistant. Dans le cadre d’un projet en équipe se référer aux directives du projet.</w:t>
      </w:r>
      <w:r w:rsidR="00AC10A2" w:rsidRPr="006A01A7">
        <w:rPr>
          <w:rFonts w:eastAsiaTheme="minorEastAsia"/>
          <w:bCs/>
        </w:rPr>
        <w:tab/>
      </w:r>
    </w:p>
    <w:p w14:paraId="06C6928F" w14:textId="6B9C1F31" w:rsidR="00EE66C1" w:rsidRDefault="00EE66C1" w:rsidP="00BD6007">
      <w:pPr>
        <w:rPr>
          <w:bCs/>
        </w:rPr>
      </w:pPr>
      <w:r w:rsidRPr="00E00501">
        <w:rPr>
          <w:b/>
        </w:rPr>
        <w:lastRenderedPageBreak/>
        <w:t xml:space="preserve">Taille des </w:t>
      </w:r>
      <w:r w:rsidR="00803A57">
        <w:rPr>
          <w:b/>
        </w:rPr>
        <w:t>classes</w:t>
      </w:r>
      <w:r w:rsidR="006A01A7" w:rsidRPr="00E00501">
        <w:rPr>
          <w:b/>
        </w:rPr>
        <w:t> :</w:t>
      </w:r>
      <w:r w:rsidR="006A01A7">
        <w:rPr>
          <w:bCs/>
        </w:rPr>
        <w:t xml:space="preserve"> Quelle est la bonne taille pour une classe ?</w:t>
      </w:r>
    </w:p>
    <w:p w14:paraId="32C7721B" w14:textId="643AD356" w:rsidR="006A01A7" w:rsidRDefault="00BD0394" w:rsidP="00BD0394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Déjà, plusieurs critères de taille : </w:t>
      </w:r>
      <w:r w:rsidR="00E00501">
        <w:rPr>
          <w:bCs/>
        </w:rPr>
        <w:t>Nombre de lignes, nombre de méthodes, …</w:t>
      </w:r>
    </w:p>
    <w:p w14:paraId="5598E6D4" w14:textId="7E0BFBB8" w:rsidR="00E00501" w:rsidRDefault="00E00501" w:rsidP="00BD0394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Le découpage en classes est avant tout </w:t>
      </w:r>
      <w:r w:rsidRPr="007E532B">
        <w:rPr>
          <w:bCs/>
          <w:highlight w:val="yellow"/>
        </w:rPr>
        <w:t>guidé par l’abstraction objet</w:t>
      </w:r>
      <w:r>
        <w:rPr>
          <w:bCs/>
        </w:rPr>
        <w:t xml:space="preserve"> retenue pour </w:t>
      </w:r>
      <w:r w:rsidR="00F123A2">
        <w:rPr>
          <w:bCs/>
        </w:rPr>
        <w:t>modéliser</w:t>
      </w:r>
      <w:r>
        <w:rPr>
          <w:bCs/>
        </w:rPr>
        <w:t xml:space="preserve"> </w:t>
      </w:r>
      <w:r w:rsidR="00F123A2">
        <w:rPr>
          <w:bCs/>
        </w:rPr>
        <w:t>le problème que l’on veut résoudre ;</w:t>
      </w:r>
    </w:p>
    <w:p w14:paraId="1232C53F" w14:textId="3ADA7838" w:rsidR="00F123A2" w:rsidRDefault="002E7A47" w:rsidP="00BD0394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En pratique, une classe trop longue</w:t>
      </w:r>
      <w:r w:rsidR="00397D37">
        <w:rPr>
          <w:bCs/>
        </w:rPr>
        <w:t xml:space="preserve"> est désagréable à utiliser. Ce désagrément traduit souvent </w:t>
      </w:r>
      <w:r w:rsidR="00993BC0">
        <w:rPr>
          <w:bCs/>
        </w:rPr>
        <w:t>une décomposition</w:t>
      </w:r>
      <w:r w:rsidR="00645498">
        <w:rPr>
          <w:bCs/>
        </w:rPr>
        <w:t xml:space="preserve"> insuffisante de l’abstraction ;</w:t>
      </w:r>
    </w:p>
    <w:p w14:paraId="1ECC9585" w14:textId="4B70B56E" w:rsidR="00645498" w:rsidRDefault="00645498" w:rsidP="00BD0394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Conseil : Se fixer une limite de taille et décider, au cas par cas, si et comment il faut </w:t>
      </w:r>
      <w:r w:rsidR="007E532B">
        <w:rPr>
          <w:bCs/>
        </w:rPr>
        <w:t>« réparer » les classes qui dépassent la limite (cela incite à améliorer l’aspect du programme) ;</w:t>
      </w:r>
    </w:p>
    <w:p w14:paraId="0CF831EF" w14:textId="07390B7D" w:rsidR="007E532B" w:rsidRDefault="007E532B" w:rsidP="007E532B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En général, pour un projet en équipe, suivre les directives du projet.</w:t>
      </w:r>
    </w:p>
    <w:p w14:paraId="570F71A9" w14:textId="0AC791B3" w:rsidR="00803A57" w:rsidRPr="00195C77" w:rsidRDefault="00803A57" w:rsidP="00803A57">
      <w:pPr>
        <w:rPr>
          <w:b/>
        </w:rPr>
      </w:pPr>
      <w:r w:rsidRPr="00195C77">
        <w:rPr>
          <w:b/>
        </w:rPr>
        <w:t xml:space="preserve">Tailles des méthodes </w:t>
      </w:r>
    </w:p>
    <w:p w14:paraId="64D6D042" w14:textId="0A00109C" w:rsidR="00AB2A06" w:rsidRDefault="00AB2A06" w:rsidP="00AB2A06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Pour une méthode, la taille est le nombre de lignes ;</w:t>
      </w:r>
    </w:p>
    <w:p w14:paraId="297526CC" w14:textId="509C80DB" w:rsidR="00AB2A06" w:rsidRDefault="00AB2A06" w:rsidP="00AB2A06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 xml:space="preserve">Principe de responsabilité unique : </w:t>
      </w:r>
      <w:r w:rsidR="003B4BD0">
        <w:rPr>
          <w:bCs/>
        </w:rPr>
        <w:t xml:space="preserve">Une méthode est </w:t>
      </w:r>
      <w:r w:rsidR="00E6132E">
        <w:rPr>
          <w:bCs/>
        </w:rPr>
        <w:t>censée</w:t>
      </w:r>
      <w:r w:rsidR="003B4BD0">
        <w:rPr>
          <w:bCs/>
        </w:rPr>
        <w:t xml:space="preserve"> effectuer une tâche précise et compréhensible </w:t>
      </w:r>
    </w:p>
    <w:p w14:paraId="1D915B9C" w14:textId="37A99A91" w:rsidR="003B4BD0" w:rsidRDefault="003B4BD0" w:rsidP="003B4BD0">
      <w:pPr>
        <w:pStyle w:val="Paragraphedeliste"/>
        <w:numPr>
          <w:ilvl w:val="0"/>
          <w:numId w:val="7"/>
        </w:numPr>
        <w:rPr>
          <w:bCs/>
        </w:rPr>
      </w:pPr>
      <w:r>
        <w:rPr>
          <w:bCs/>
        </w:rPr>
        <w:t>Un excès de lignes</w:t>
      </w:r>
      <w:r w:rsidR="00493AE6">
        <w:rPr>
          <w:bCs/>
        </w:rPr>
        <w:t> ;</w:t>
      </w:r>
    </w:p>
    <w:p w14:paraId="66A468BB" w14:textId="6709B829" w:rsidR="00493AE6" w:rsidRDefault="00493AE6" w:rsidP="00493AE6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Nuit à la compréhension ;</w:t>
      </w:r>
    </w:p>
    <w:p w14:paraId="22C8E798" w14:textId="17A3E5E4" w:rsidR="00493AE6" w:rsidRDefault="00493AE6" w:rsidP="00493AE6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 xml:space="preserve">Peut traduire </w:t>
      </w:r>
      <w:r w:rsidR="00B31F11">
        <w:rPr>
          <w:bCs/>
        </w:rPr>
        <w:t xml:space="preserve">le faut que la méthode effectue en réalité plusieurs tâches </w:t>
      </w:r>
      <w:r w:rsidR="00705A9B">
        <w:rPr>
          <w:bCs/>
        </w:rPr>
        <w:t>probablement séparables.</w:t>
      </w:r>
    </w:p>
    <w:p w14:paraId="599C82F9" w14:textId="247B0766" w:rsidR="00705A9B" w:rsidRDefault="00705A9B" w:rsidP="00705A9B">
      <w:pPr>
        <w:pStyle w:val="Paragraphedeliste"/>
        <w:numPr>
          <w:ilvl w:val="0"/>
          <w:numId w:val="1"/>
        </w:numPr>
        <w:rPr>
          <w:bCs/>
        </w:rPr>
      </w:pPr>
      <w:r>
        <w:rPr>
          <w:bCs/>
        </w:rPr>
        <w:t>Quelle est la bonne longueur ?</w:t>
      </w:r>
    </w:p>
    <w:p w14:paraId="522BA7E4" w14:textId="71A3C469" w:rsidR="00705A9B" w:rsidRDefault="003A67B7" w:rsidP="00705A9B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Un critère : One ne peut pas bien comprendre une méthode si on ne peut pas la parcourir en un simple coup d’œil.</w:t>
      </w:r>
    </w:p>
    <w:p w14:paraId="168A4EC5" w14:textId="1897B733" w:rsidR="003A67B7" w:rsidRPr="00E6132E" w:rsidRDefault="00E6132E" w:rsidP="003A67B7">
      <w:pPr>
        <w:pStyle w:val="Paragraphedeliste"/>
        <w:numPr>
          <w:ilvl w:val="0"/>
          <w:numId w:val="7"/>
        </w:numPr>
        <w:rPr>
          <w:bCs/>
        </w:rPr>
      </w:pPr>
      <w:r>
        <w:rPr>
          <w:bCs/>
        </w:rPr>
        <w:t>Faire en sorte qu’elle tienne en un écran (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  <w:bCs/>
        </w:rPr>
        <w:t xml:space="preserve"> 30-40 lignes max) ;</w:t>
      </w:r>
    </w:p>
    <w:p w14:paraId="544CB5E9" w14:textId="45983107" w:rsidR="00E6132E" w:rsidRDefault="00E6132E" w:rsidP="00E6132E">
      <w:pPr>
        <w:pStyle w:val="Paragraphedeliste"/>
        <w:numPr>
          <w:ilvl w:val="1"/>
          <w:numId w:val="1"/>
        </w:numPr>
        <w:rPr>
          <w:bCs/>
        </w:rPr>
      </w:pPr>
      <w:r>
        <w:rPr>
          <w:bCs/>
        </w:rPr>
        <w:t>En général</w:t>
      </w:r>
      <w:r w:rsidR="00D351FD">
        <w:rPr>
          <w:bCs/>
        </w:rPr>
        <w:t>, suivre les directives du projet.</w:t>
      </w:r>
    </w:p>
    <w:p w14:paraId="1429CDAF" w14:textId="0D423AE8" w:rsidR="00B40E47" w:rsidRPr="00B40E47" w:rsidRDefault="00D351FD" w:rsidP="00B40E47">
      <w:pPr>
        <w:pStyle w:val="Paragraphedeliste"/>
        <w:rPr>
          <w:bCs/>
        </w:rPr>
      </w:pPr>
      <w:r w:rsidRPr="00B40E47">
        <w:rPr>
          <w:bCs/>
          <w:color w:val="EE0000"/>
        </w:rPr>
        <w:t xml:space="preserve">Quand une méthode ne fait qu’une seule chose et qu’elle est bien nommée, on n’a plus besoin de commenter </w:t>
      </w:r>
      <w:r w:rsidR="00B40E47" w:rsidRPr="00B40E47">
        <w:rPr>
          <w:bCs/>
          <w:color w:val="EE0000"/>
        </w:rPr>
        <w:t xml:space="preserve">chacun de ses appels </w:t>
      </w:r>
      <w:r w:rsidR="00B40E47">
        <w:rPr>
          <w:bCs/>
        </w:rPr>
        <w:t>(en effet, ce qu’on fait à cette ligne devient évident en lisant le code).</w:t>
      </w:r>
    </w:p>
    <w:p w14:paraId="1CA433E2" w14:textId="0C0B1362" w:rsidR="004F4B41" w:rsidRPr="007E532B" w:rsidRDefault="004F4B41" w:rsidP="00BD6007">
      <w:pPr>
        <w:rPr>
          <w:b/>
        </w:rPr>
      </w:pPr>
      <w:r w:rsidRPr="007E532B">
        <w:rPr>
          <w:b/>
        </w:rPr>
        <w:t>Nombre de paramètres des méthodes</w:t>
      </w:r>
    </w:p>
    <w:p w14:paraId="1C667FB1" w14:textId="50FFBB76" w:rsidR="007E532B" w:rsidRDefault="00B40E47" w:rsidP="00B40E47">
      <w:pPr>
        <w:pStyle w:val="Paragraphedeliste"/>
        <w:rPr>
          <w:rFonts w:eastAsiaTheme="minorEastAsia"/>
          <w:bCs/>
        </w:rPr>
      </w:pPr>
      <w:r>
        <w:rPr>
          <w:bCs/>
        </w:rPr>
        <w:t>Autre critère : Le nombre de paramètres. Trop de paramètres (</w:t>
      </w:r>
      <m:oMath>
        <m:r>
          <w:rPr>
            <w:rFonts w:ascii="Cambria Math" w:hAnsi="Cambria Math"/>
          </w:rPr>
          <m:t>&gt;4</m:t>
        </m:r>
      </m:oMath>
      <w:r>
        <w:rPr>
          <w:rFonts w:eastAsiaTheme="minorEastAsia"/>
          <w:bCs/>
        </w:rPr>
        <w:t>) implique :</w:t>
      </w:r>
    </w:p>
    <w:p w14:paraId="6992BD8D" w14:textId="14A4D897" w:rsidR="00B40E47" w:rsidRPr="00B40E47" w:rsidRDefault="00B40E47" w:rsidP="00B40E47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Une signature longue et illisible ;</w:t>
      </w:r>
    </w:p>
    <w:p w14:paraId="4A491CA4" w14:textId="517315C2" w:rsidR="00B40E47" w:rsidRPr="00211E26" w:rsidRDefault="00B40E47" w:rsidP="00B40E47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Une utilisation difficile</w:t>
      </w:r>
      <w:r w:rsidR="00211E26">
        <w:rPr>
          <w:rFonts w:eastAsiaTheme="minorEastAsia"/>
          <w:bCs/>
        </w:rPr>
        <w:t xml:space="preserve"> («</w:t>
      </w:r>
      <w:r>
        <w:rPr>
          <w:rFonts w:eastAsiaTheme="minorEastAsia"/>
          <w:bCs/>
        </w:rPr>
        <w:t> </w:t>
      </w:r>
      <w:r w:rsidR="00211E26">
        <w:rPr>
          <w:rFonts w:eastAsiaTheme="minorEastAsia"/>
          <w:bCs/>
        </w:rPr>
        <w:t>ah ce paramètre-là, il était en 8</w:t>
      </w:r>
      <w:r w:rsidR="00211E26" w:rsidRPr="00211E26">
        <w:rPr>
          <w:rFonts w:eastAsiaTheme="minorEastAsia"/>
          <w:bCs/>
          <w:vertAlign w:val="superscript"/>
        </w:rPr>
        <w:t>e</w:t>
      </w:r>
      <w:r w:rsidR="00211E26">
        <w:rPr>
          <w:rFonts w:eastAsiaTheme="minorEastAsia"/>
          <w:bCs/>
        </w:rPr>
        <w:t xml:space="preserve"> ou en 9</w:t>
      </w:r>
      <w:r w:rsidR="00211E26" w:rsidRPr="00211E26">
        <w:rPr>
          <w:rFonts w:eastAsiaTheme="minorEastAsia"/>
          <w:bCs/>
          <w:vertAlign w:val="superscript"/>
        </w:rPr>
        <w:t>e</w:t>
      </w:r>
      <w:r w:rsidR="00211E26">
        <w:rPr>
          <w:rFonts w:eastAsiaTheme="minorEastAsia"/>
          <w:bCs/>
        </w:rPr>
        <w:t xml:space="preserve"> position, déjà ») ;</w:t>
      </w:r>
    </w:p>
    <w:p w14:paraId="16E8CAA0" w14:textId="4AD8EAF4" w:rsidR="00211E26" w:rsidRDefault="00211E26" w:rsidP="00211E26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Il est souvent possible de réduire le nombre de paramètres</w:t>
      </w:r>
    </w:p>
    <w:p w14:paraId="4A294C37" w14:textId="2F6A172C" w:rsidR="00211E26" w:rsidRPr="00E31FC4" w:rsidRDefault="00211E26" w:rsidP="00211E2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 xml:space="preserve">En utilisant </w:t>
      </w:r>
      <w:r w:rsidR="00E31FC4">
        <w:rPr>
          <w:rFonts w:eastAsiaTheme="minorEastAsia"/>
          <w:bCs/>
        </w:rPr>
        <w:t>la surcharge (méthodes de même nom, mais signatures différentes) ;</w:t>
      </w:r>
    </w:p>
    <w:p w14:paraId="08F09BD9" w14:textId="12109050" w:rsidR="00E31FC4" w:rsidRPr="00E31FC4" w:rsidRDefault="00E31FC4" w:rsidP="00211E2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Ou bien en séparant la méthode en plusieurs méthodes plus petites (en décomposant la tâche effectuée) ;</w:t>
      </w:r>
    </w:p>
    <w:p w14:paraId="7A41F4FF" w14:textId="707C2385" w:rsidR="00E31FC4" w:rsidRPr="00F47656" w:rsidRDefault="00E31FC4" w:rsidP="00211E26">
      <w:pPr>
        <w:pStyle w:val="Paragraphedeliste"/>
        <w:numPr>
          <w:ilvl w:val="1"/>
          <w:numId w:val="1"/>
        </w:numPr>
        <w:rPr>
          <w:bCs/>
        </w:rPr>
      </w:pPr>
      <w:r>
        <w:rPr>
          <w:rFonts w:eastAsiaTheme="minorEastAsia"/>
          <w:bCs/>
        </w:rPr>
        <w:t>Ou bien en passant des objets composites en paramètre</w:t>
      </w:r>
      <w:r w:rsidR="00F47656">
        <w:rPr>
          <w:rFonts w:eastAsiaTheme="minorEastAsia"/>
          <w:bCs/>
        </w:rPr>
        <w:t> ;</w:t>
      </w:r>
    </w:p>
    <w:p w14:paraId="449EF354" w14:textId="77777777" w:rsidR="00F47656" w:rsidRDefault="00F47656" w:rsidP="00F47656">
      <w:pPr>
        <w:pStyle w:val="Paragraphedeliste"/>
        <w:ind w:left="1440"/>
        <w:rPr>
          <w:rFonts w:eastAsiaTheme="minorEastAsia"/>
          <w:bCs/>
        </w:rPr>
      </w:pPr>
      <w:r>
        <w:rPr>
          <w:rFonts w:eastAsiaTheme="minorEastAsia"/>
          <w:bCs/>
        </w:rPr>
        <w:t xml:space="preserve">Ex : Un </w:t>
      </w:r>
      <m:oMath>
        <m: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oint</m:t>
        </m:r>
        <m:r>
          <w:rPr>
            <w:rFonts w:ascii="Cambria Math" w:eastAsiaTheme="minorEastAsia" w:hAnsi="Cambria Math"/>
          </w:rPr>
          <m:t xml:space="preserve"> p</m:t>
        </m:r>
      </m:oMath>
      <w:r>
        <w:rPr>
          <w:rFonts w:eastAsiaTheme="minorEastAsia"/>
          <w:bCs/>
        </w:rPr>
        <w:t xml:space="preserve"> au lieu de </w:t>
      </w:r>
      <m:oMath>
        <m:r>
          <w:rPr>
            <w:rFonts w:ascii="Cambria Math" w:eastAsiaTheme="minorEastAsia" w:hAnsi="Cambria Math"/>
          </w:rPr>
          <m:t>int x, int y</m:t>
        </m:r>
      </m:oMath>
    </w:p>
    <w:p w14:paraId="306B0DE5" w14:textId="77777777" w:rsidR="002839F4" w:rsidRDefault="00F47656" w:rsidP="00F47656">
      <w:pPr>
        <w:pStyle w:val="Paragraphedeliste"/>
        <w:ind w:left="1440"/>
        <w:rPr>
          <w:rFonts w:eastAsiaTheme="minorEastAsia"/>
          <w:bCs/>
        </w:rPr>
      </w:pPr>
      <w:r>
        <w:rPr>
          <w:rFonts w:eastAsiaTheme="minorEastAsia"/>
          <w:bCs/>
        </w:rPr>
        <w:t xml:space="preserve">Voir aussi ; Patron « monteur » (le constructeur </w:t>
      </w:r>
      <w:r w:rsidR="002839F4">
        <w:rPr>
          <w:rFonts w:eastAsiaTheme="minorEastAsia"/>
          <w:bCs/>
        </w:rPr>
        <w:t xml:space="preserve">prend pour seul paramètre une instance du </w:t>
      </w:r>
      <m:oMath>
        <m:r>
          <w:rPr>
            <w:rFonts w:ascii="Cambria Math" w:eastAsiaTheme="minorEastAsia" w:hAnsi="Cambria Math"/>
          </w:rPr>
          <m:t>Builder</m:t>
        </m:r>
      </m:oMath>
      <w:r w:rsidR="002839F4">
        <w:rPr>
          <w:rFonts w:eastAsiaTheme="minorEastAsia"/>
          <w:bCs/>
        </w:rPr>
        <w:t>).</w:t>
      </w:r>
    </w:p>
    <w:p w14:paraId="6BD3E6FE" w14:textId="1600E695" w:rsidR="00F47656" w:rsidRPr="002839F4" w:rsidRDefault="00F47656" w:rsidP="002839F4">
      <w:pPr>
        <w:rPr>
          <w:bCs/>
        </w:rPr>
      </w:pPr>
      <w:r w:rsidRPr="002839F4">
        <w:rPr>
          <w:rFonts w:eastAsiaTheme="minorEastAsia"/>
          <w:bCs/>
        </w:rPr>
        <w:t xml:space="preserve"> </w:t>
      </w:r>
    </w:p>
    <w:sectPr w:rsidR="00F47656" w:rsidRPr="002839F4" w:rsidSect="00544B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FE4"/>
    <w:multiLevelType w:val="hybridMultilevel"/>
    <w:tmpl w:val="34A878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7FED"/>
    <w:multiLevelType w:val="hybridMultilevel"/>
    <w:tmpl w:val="803E705C"/>
    <w:lvl w:ilvl="0" w:tplc="85E072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C27EB0"/>
    <w:multiLevelType w:val="hybridMultilevel"/>
    <w:tmpl w:val="DCA09972"/>
    <w:lvl w:ilvl="0" w:tplc="C3FADFD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705F0"/>
    <w:multiLevelType w:val="hybridMultilevel"/>
    <w:tmpl w:val="DA441BF6"/>
    <w:lvl w:ilvl="0" w:tplc="1BF012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AE4E79"/>
    <w:multiLevelType w:val="hybridMultilevel"/>
    <w:tmpl w:val="594C20B0"/>
    <w:lvl w:ilvl="0" w:tplc="ABF66F6E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A6D6C89"/>
    <w:multiLevelType w:val="hybridMultilevel"/>
    <w:tmpl w:val="97040B24"/>
    <w:lvl w:ilvl="0" w:tplc="44B66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AA1CCD"/>
    <w:multiLevelType w:val="hybridMultilevel"/>
    <w:tmpl w:val="54BC3348"/>
    <w:lvl w:ilvl="0" w:tplc="36387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0501914">
    <w:abstractNumId w:val="2"/>
  </w:num>
  <w:num w:numId="2" w16cid:durableId="632830312">
    <w:abstractNumId w:val="6"/>
  </w:num>
  <w:num w:numId="3" w16cid:durableId="361980998">
    <w:abstractNumId w:val="3"/>
  </w:num>
  <w:num w:numId="4" w16cid:durableId="1765495169">
    <w:abstractNumId w:val="0"/>
  </w:num>
  <w:num w:numId="5" w16cid:durableId="829827365">
    <w:abstractNumId w:val="5"/>
  </w:num>
  <w:num w:numId="6" w16cid:durableId="1667048962">
    <w:abstractNumId w:val="1"/>
  </w:num>
  <w:num w:numId="7" w16cid:durableId="42802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C9"/>
    <w:rsid w:val="00002256"/>
    <w:rsid w:val="000442C5"/>
    <w:rsid w:val="00045C57"/>
    <w:rsid w:val="000727CF"/>
    <w:rsid w:val="000B6F82"/>
    <w:rsid w:val="000C65E6"/>
    <w:rsid w:val="000E16CC"/>
    <w:rsid w:val="001065AE"/>
    <w:rsid w:val="00111798"/>
    <w:rsid w:val="00111A6A"/>
    <w:rsid w:val="0014398F"/>
    <w:rsid w:val="00195C77"/>
    <w:rsid w:val="001C2720"/>
    <w:rsid w:val="00210551"/>
    <w:rsid w:val="00211E26"/>
    <w:rsid w:val="002628D6"/>
    <w:rsid w:val="0026636B"/>
    <w:rsid w:val="002839F4"/>
    <w:rsid w:val="00293440"/>
    <w:rsid w:val="002E7A47"/>
    <w:rsid w:val="00394189"/>
    <w:rsid w:val="00397D37"/>
    <w:rsid w:val="003A67B7"/>
    <w:rsid w:val="003B354A"/>
    <w:rsid w:val="003B4BD0"/>
    <w:rsid w:val="003F182E"/>
    <w:rsid w:val="003F1F98"/>
    <w:rsid w:val="003F2AD0"/>
    <w:rsid w:val="00436017"/>
    <w:rsid w:val="00455603"/>
    <w:rsid w:val="004917EE"/>
    <w:rsid w:val="00493AE6"/>
    <w:rsid w:val="004953BB"/>
    <w:rsid w:val="004962B6"/>
    <w:rsid w:val="004A3A00"/>
    <w:rsid w:val="004B51C7"/>
    <w:rsid w:val="004B61F1"/>
    <w:rsid w:val="004D1C18"/>
    <w:rsid w:val="004E19AF"/>
    <w:rsid w:val="004F4B41"/>
    <w:rsid w:val="0051016A"/>
    <w:rsid w:val="00514C07"/>
    <w:rsid w:val="00524F9C"/>
    <w:rsid w:val="0052697A"/>
    <w:rsid w:val="00541ADC"/>
    <w:rsid w:val="00544BC9"/>
    <w:rsid w:val="00545CD9"/>
    <w:rsid w:val="0058445E"/>
    <w:rsid w:val="005A16FD"/>
    <w:rsid w:val="005F6942"/>
    <w:rsid w:val="005F7C1F"/>
    <w:rsid w:val="00642095"/>
    <w:rsid w:val="00645498"/>
    <w:rsid w:val="006470E0"/>
    <w:rsid w:val="00684BCA"/>
    <w:rsid w:val="006A01A7"/>
    <w:rsid w:val="006D7AA6"/>
    <w:rsid w:val="00705A9B"/>
    <w:rsid w:val="00795E08"/>
    <w:rsid w:val="007B5BA6"/>
    <w:rsid w:val="007C56EA"/>
    <w:rsid w:val="007E532B"/>
    <w:rsid w:val="00803A57"/>
    <w:rsid w:val="008241E3"/>
    <w:rsid w:val="00830602"/>
    <w:rsid w:val="0086435E"/>
    <w:rsid w:val="00900962"/>
    <w:rsid w:val="00904254"/>
    <w:rsid w:val="009641ED"/>
    <w:rsid w:val="009671A8"/>
    <w:rsid w:val="00993BC0"/>
    <w:rsid w:val="009A6D36"/>
    <w:rsid w:val="009B480A"/>
    <w:rsid w:val="009B696B"/>
    <w:rsid w:val="00A00A0E"/>
    <w:rsid w:val="00A14B7C"/>
    <w:rsid w:val="00A27FB5"/>
    <w:rsid w:val="00A802FE"/>
    <w:rsid w:val="00A87D98"/>
    <w:rsid w:val="00AB2A06"/>
    <w:rsid w:val="00AC10A2"/>
    <w:rsid w:val="00AC29CD"/>
    <w:rsid w:val="00B02029"/>
    <w:rsid w:val="00B058CA"/>
    <w:rsid w:val="00B078E3"/>
    <w:rsid w:val="00B31F11"/>
    <w:rsid w:val="00B36A0E"/>
    <w:rsid w:val="00B40B01"/>
    <w:rsid w:val="00B40E47"/>
    <w:rsid w:val="00B60095"/>
    <w:rsid w:val="00B74DCC"/>
    <w:rsid w:val="00B8070D"/>
    <w:rsid w:val="00BC3AEC"/>
    <w:rsid w:val="00BD0394"/>
    <w:rsid w:val="00BD5A00"/>
    <w:rsid w:val="00BD6007"/>
    <w:rsid w:val="00C2269A"/>
    <w:rsid w:val="00C64B09"/>
    <w:rsid w:val="00C81C8A"/>
    <w:rsid w:val="00C928C1"/>
    <w:rsid w:val="00CC47AB"/>
    <w:rsid w:val="00D351FD"/>
    <w:rsid w:val="00D556EF"/>
    <w:rsid w:val="00DD6FC3"/>
    <w:rsid w:val="00DE4065"/>
    <w:rsid w:val="00DE5C4C"/>
    <w:rsid w:val="00E00501"/>
    <w:rsid w:val="00E067A1"/>
    <w:rsid w:val="00E31FC4"/>
    <w:rsid w:val="00E320CD"/>
    <w:rsid w:val="00E51C66"/>
    <w:rsid w:val="00E6132E"/>
    <w:rsid w:val="00E61785"/>
    <w:rsid w:val="00E63B4E"/>
    <w:rsid w:val="00E67EA0"/>
    <w:rsid w:val="00E81D0B"/>
    <w:rsid w:val="00E96CB5"/>
    <w:rsid w:val="00ED026E"/>
    <w:rsid w:val="00ED481D"/>
    <w:rsid w:val="00ED5BFD"/>
    <w:rsid w:val="00EE0ADF"/>
    <w:rsid w:val="00EE66C1"/>
    <w:rsid w:val="00EF013B"/>
    <w:rsid w:val="00EF36A1"/>
    <w:rsid w:val="00F02087"/>
    <w:rsid w:val="00F123A2"/>
    <w:rsid w:val="00F47656"/>
    <w:rsid w:val="00F5515F"/>
    <w:rsid w:val="00F90F30"/>
    <w:rsid w:val="00F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0021F"/>
  <w15:chartTrackingRefBased/>
  <w15:docId w15:val="{8C29D469-7BE7-4693-B608-371FA870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B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B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B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B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B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B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B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B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B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B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BC9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544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1403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118</cp:revision>
  <dcterms:created xsi:type="dcterms:W3CDTF">2025-10-24T12:55:00Z</dcterms:created>
  <dcterms:modified xsi:type="dcterms:W3CDTF">2025-10-27T11:23:00Z</dcterms:modified>
</cp:coreProperties>
</file>