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93.png" ContentType="image/png"/>
  <Override PartName="/word/media/rId89.png" ContentType="image/png"/>
  <Override PartName="/word/media/rId8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Analysis_Laudine_R&amp;R</w:t>
      </w:r>
    </w:p>
    <w:p>
      <w:pPr>
        <w:pStyle w:val="Author"/>
      </w:pPr>
      <w:r>
        <w:t xml:space="preserve">Laudine</w:t>
      </w:r>
      <w:r>
        <w:t xml:space="preserve"> </w:t>
      </w:r>
      <w:r>
        <w:t xml:space="preserve">Carbuccia</w:t>
      </w:r>
    </w:p>
    <w:p>
      <w:pPr>
        <w:pStyle w:val="Date"/>
      </w:pPr>
      <w:r>
        <w:t xml:space="preserve">2025-01-20</w:t>
      </w:r>
    </w:p>
    <w:bookmarkStart w:id="98" w:name="comments-from-the-reviewers"/>
    <w:p>
      <w:pPr>
        <w:pStyle w:val="Heading1"/>
      </w:pPr>
      <w:r>
        <w:rPr>
          <w:rStyle w:val="SectionNumber"/>
        </w:rPr>
        <w:t xml:space="preserve">1</w:t>
      </w:r>
      <w:r>
        <w:tab/>
      </w:r>
      <w:r>
        <w:t xml:space="preserve">Comments from the reviewers</w:t>
      </w:r>
    </w:p>
    <w:bookmarkStart w:id="84" w:name="reviewer-1"/>
    <w:p>
      <w:pPr>
        <w:pStyle w:val="Heading2"/>
      </w:pPr>
      <w:r>
        <w:rPr>
          <w:rStyle w:val="SectionNumber"/>
        </w:rPr>
        <w:t xml:space="preserve">1.1</w:t>
      </w:r>
      <w:r>
        <w:tab/>
      </w:r>
      <w:r>
        <w:t xml:space="preserve">Reviewer 1</w:t>
      </w:r>
    </w:p>
    <w:bookmarkStart w:id="20" w:name="comment-1---descriptive-tables"/>
    <w:p>
      <w:pPr>
        <w:pStyle w:val="Heading3"/>
      </w:pPr>
      <w:r>
        <w:rPr>
          <w:rStyle w:val="SectionNumber"/>
        </w:rPr>
        <w:t xml:space="preserve">1.1.1</w:t>
      </w:r>
      <w:r>
        <w:tab/>
      </w:r>
      <w:r>
        <w:t xml:space="preserve">Comment 1 - Descriptive tables</w:t>
      </w:r>
    </w:p>
    <w:p>
      <w:pPr>
        <w:pStyle w:val="FirstParagraph"/>
      </w:pPr>
      <w:r>
        <w:t xml:space="preserve">“</w:t>
      </w:r>
      <w:r>
        <w:t xml:space="preserve">One thing I missed was additional descriptive information (in the supplementary file), in particular distributions of all variables by SES, migration background, baseline knowledge, temporal orientation, previous childcare usage, activity status, and by district.</w:t>
      </w:r>
      <w:r>
        <w:t xml:space="preserve">”</w:t>
      </w:r>
    </w:p>
    <w:bookmarkEnd w:id="20"/>
    <w:bookmarkStart w:id="42" w:name="response"/>
    <w:p>
      <w:pPr>
        <w:pStyle w:val="Heading3"/>
      </w:pPr>
      <w:r>
        <w:rPr>
          <w:rStyle w:val="SectionNumber"/>
        </w:rPr>
        <w:t xml:space="preserve">1.1.2</w:t>
      </w:r>
      <w:r>
        <w:tab/>
      </w:r>
      <w:r>
        <w:t xml:space="preserve">Response</w:t>
      </w:r>
    </w:p>
    <w:bookmarkStart w:id="22" w:name="distribution-of-the-variables"/>
    <w:p>
      <w:pPr>
        <w:pStyle w:val="Heading4"/>
      </w:pPr>
      <w:r>
        <w:rPr>
          <w:rStyle w:val="SectionNumber"/>
        </w:rPr>
        <w:t xml:space="preserve">1.1.2.1</w:t>
      </w:r>
      <w:r>
        <w:tab/>
      </w:r>
      <w:r>
        <w:t xml:space="preserve">Distribution of the variables</w:t>
      </w:r>
    </w:p>
    <w:p>
      <w:pPr>
        <w:pStyle w:val="TableCaption"/>
      </w:pPr>
      <w:bookmarkStart w:id="21" w:name="tab:Descriptive"/>
      <w:bookmarkEnd w:id="21"/>
      <w:r>
        <w:t xml:space="preserve">Table 1.1:</w:t>
      </w:r>
      <w:r>
        <w:t xml:space="preserve"> </w:t>
      </w: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02"/>
        <w:gridCol w:w="1679"/>
      </w:tblGrid>
      <w:tr>
        <w:trPr>
          <w:trHeight w:val="42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n = 1849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18"/>
                <w:szCs w:val="18"/>
                <w:color w:val="000000"/>
              </w:rPr>
              <w:t xml:space="preserve">1</w:t>
            </w:r>
          </w:p>
        </w:tc>
      </w:tr>
      <w:tr>
        <w:trPr>
          <w:trHeight w:val="46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Secondary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729 (39.4%)</w:t>
            </w:r>
          </w:p>
        </w:tc>
      </w:tr>
      <w:tr>
        <w:trPr>
          <w:trHeight w:val="46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Post-secondary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1,120 (60.6%)</w:t>
            </w:r>
          </w:p>
        </w:tc>
      </w:tr>
      <w:tr>
        <w:trPr>
          <w:trHeight w:val="46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159 (8.6%)</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32.3 (5.6)</w:t>
            </w:r>
          </w:p>
        </w:tc>
      </w:tr>
      <w:tr>
        <w:trPr>
          <w:trHeight w:val="4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17.0, 52.0</w:t>
            </w:r>
          </w:p>
        </w:tc>
      </w:tr>
      <w:tr>
        <w:trPr>
          <w:trHeight w:val="46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784 (42.5%)</w:t>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w:t>
            </w:r>
          </w:p>
        </w:tc>
      </w:tr>
      <w:tr>
        <w:trPr>
          <w:trHeight w:val="42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 (1.2)</w:t>
            </w:r>
          </w:p>
        </w:tc>
      </w:tr>
      <w:tr>
        <w:trPr>
          <w:trHeight w:val="46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0.0, 11.0</w:t>
            </w:r>
          </w:p>
        </w:tc>
      </w:tr>
      <w:tr>
        <w:trPr>
          <w:trHeight w:val="43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Born in 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984 (53.2%)</w:t>
            </w:r>
          </w:p>
        </w:tc>
      </w:tr>
      <w:tr>
        <w:trPr>
          <w:trHeight w:val="46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865 (46.8%)</w:t>
            </w:r>
          </w:p>
        </w:tc>
      </w:tr>
      <w:tr>
        <w:trPr>
          <w:trHeight w:val="4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1,690 (100.0%)</w:t>
            </w:r>
          </w:p>
        </w:tc>
      </w:tr>
      <w:tr>
        <w:trPr>
          <w:trHeight w:val="43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159</w:t>
            </w:r>
          </w:p>
        </w:tc>
      </w:tr>
      <w:tr>
        <w:trPr>
          <w:trHeight w:val="46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861 (46.6%)</w:t>
            </w:r>
          </w:p>
        </w:tc>
      </w:tr>
      <w:tr>
        <w:trPr>
          <w:trHeight w:val="46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High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1,622 (87.7%)</w:t>
            </w:r>
          </w:p>
        </w:tc>
      </w:tr>
      <w:tr>
        <w:trPr>
          <w:trHeight w:val="46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Low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227 (12.3%)</w:t>
            </w:r>
          </w:p>
        </w:tc>
      </w:tr>
      <w:tr>
        <w:trPr>
          <w:trHeight w:val="46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1,291 (69.8%)</w:t>
            </w:r>
          </w:p>
        </w:tc>
      </w:tr>
      <w:tr>
        <w:trPr>
          <w:trHeight w:val="46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1,641 (88.8%)</w:t>
            </w:r>
          </w:p>
        </w:tc>
      </w:tr>
      <w:tr>
        <w:trPr>
          <w:trHeight w:val="46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aldready accesed early childcare in the past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745 (40.3%)</w:t>
            </w:r>
          </w:p>
        </w:tc>
      </w:tr>
      <w:tr>
        <w:trPr>
          <w:trHeight w:val="46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1,491 (80.6%)</w:t>
            </w:r>
          </w:p>
        </w:tc>
      </w:tr>
      <w:tr>
        <w:trPr>
          <w:trHeight w:val="46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1,564 (84.6%)</w:t>
            </w:r>
          </w:p>
        </w:tc>
      </w:tr>
      <w:tr>
        <w:trPr>
          <w:trHeight w:val="46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believe in early childcare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1,042 (56.4%)</w:t>
            </w:r>
          </w:p>
        </w:tc>
      </w:tr>
      <w:tr>
        <w:trPr>
          <w:trHeight w:val="46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trusts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1,502 (81.2%)</w:t>
            </w:r>
          </w:p>
        </w:tc>
      </w:tr>
      <w:tr>
        <w:trPr>
          <w:trHeight w:val="46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majority of friends and relatives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1,091 (59.0%)</w:t>
            </w:r>
          </w:p>
        </w:tc>
      </w:tr>
      <w:tr>
        <w:trPr>
          <w:trHeight w:val="46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perceives social approval for using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778 (42.1%)</w:t>
            </w:r>
          </w:p>
        </w:tc>
      </w:tr>
      <w:tr>
        <w:trPr>
          <w:trHeight w:val="42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1,157 (62.6%)</w:t>
            </w:r>
          </w:p>
        </w:tc>
      </w:tr>
      <w:tr>
        <w:trPr>
          <w:trHeight w:val="46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692 (37.4%)</w:t>
            </w:r>
          </w:p>
        </w:tc>
      </w:tr>
      <w:tr>
        <w:trPr>
          <w:trHeight w:val="46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High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750 (40.6%)</w:t>
            </w:r>
          </w:p>
        </w:tc>
      </w:tr>
      <w:tr>
        <w:trPr>
          <w:trHeight w:val="46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Low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1,099 (59.4%)</w:t>
            </w:r>
          </w:p>
        </w:tc>
      </w:tr>
      <w:tr>
        <w:trPr>
          <w:trHeight w:val="465"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723 (48.3%)</w:t>
            </w:r>
          </w:p>
        </w:tc>
      </w:tr>
      <w:tr>
        <w:trPr>
          <w:trHeight w:val="46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774 (51.7%)</w:t>
            </w:r>
          </w:p>
        </w:tc>
      </w:tr>
      <w:tr>
        <w:trPr>
          <w:trHeight w:val="43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352</w:t>
            </w:r>
          </w:p>
        </w:tc>
      </w:tr>
      <w:tr>
        <w:trPr>
          <w:trHeight w:val="46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1,104 (76.0%)</w:t>
            </w:r>
          </w:p>
        </w:tc>
      </w:tr>
      <w:tr>
        <w:trPr>
          <w:trHeight w:val="43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396</w:t>
            </w:r>
          </w:p>
        </w:tc>
      </w:tr>
      <w:tr>
        <w:trPr>
          <w:trHeight w:val="46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898 (48.6%)</w:t>
            </w:r>
          </w:p>
        </w:tc>
      </w:tr>
      <w:tr>
        <w:trPr>
          <w:trHeight w:val="46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817 (56.2%)</w:t>
            </w:r>
          </w:p>
        </w:tc>
      </w:tr>
      <w:tr>
        <w:trPr>
          <w:trHeight w:val="432"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396</w:t>
            </w:r>
          </w:p>
        </w:tc>
      </w:tr>
      <w:tr>
        <w:trPr>
          <w:trHeight w:val="467" w:hRule="auto"/>
        </w:trPr>
        body48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Accessed any daycare center at endline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327 (17.7%)</w:t>
            </w:r>
          </w:p>
        </w:tc>
      </w:tr>
      <w:tr>
        <w:trPr>
          <w:trHeight w:val="360" w:hRule="auto"/>
        </w:trPr>
        footer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n (%)</w:t>
            </w:r>
          </w:p>
        </w:tc>
      </w:tr>
    </w:tbl>
    <w:bookmarkEnd w:id="22"/>
    <w:bookmarkStart w:id="24" w:name="distribution-of-all-variables-by-ses"/>
    <w:p>
      <w:pPr>
        <w:pStyle w:val="Heading4"/>
      </w:pPr>
      <w:r>
        <w:rPr>
          <w:rStyle w:val="SectionNumber"/>
        </w:rPr>
        <w:t xml:space="preserve">1.1.2.2</w:t>
      </w:r>
      <w:r>
        <w:tab/>
      </w:r>
      <w:r>
        <w:t xml:space="preserve">Distribution of all variables by SES</w:t>
      </w:r>
    </w:p>
    <w:p>
      <w:pPr>
        <w:pStyle w:val="TableCaption"/>
      </w:pPr>
      <w:bookmarkStart w:id="23" w:name="tab:DiffEduc"/>
      <w:bookmarkEnd w:id="23"/>
      <w:r>
        <w:t xml:space="preserve">Table 1.2:</w:t>
      </w:r>
      <w:r>
        <w:t xml:space="preserve"> </w:t>
      </w:r>
      <w:r>
        <w:t xml:space="preserve">Differences by socio-economic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tblGrid>
      <w:tr>
        <w:trPr>
          <w:trHeight w:val="457"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Socio-Economic Status</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Low-SES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High-SES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30.8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 (1,068)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0.003***</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4"/>
    <w:bookmarkStart w:id="26" w:name="Xf7beb689fc8b2256ff9d285b6ec4030a11c4dd5"/>
    <w:p>
      <w:pPr>
        <w:pStyle w:val="Heading4"/>
      </w:pPr>
      <w:r>
        <w:rPr>
          <w:rStyle w:val="SectionNumber"/>
        </w:rPr>
        <w:t xml:space="preserve">1.1.2.3</w:t>
      </w:r>
      <w:r>
        <w:tab/>
      </w:r>
      <w:r>
        <w:t xml:space="preserve">Distribution of all variables by migration background</w:t>
      </w:r>
    </w:p>
    <w:p>
      <w:pPr>
        <w:pStyle w:val="TableCaption"/>
      </w:pPr>
      <w:bookmarkStart w:id="25" w:name="tab:DiffMig"/>
      <w:bookmarkEnd w:id="25"/>
      <w:r>
        <w:t xml:space="preserve">Table 1.3:</w:t>
      </w:r>
      <w:r>
        <w:t xml:space="preserve"> </w:t>
      </w:r>
      <w:r>
        <w:t xml:space="preserve">Differences by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Migration Background</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Born abroad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Born in France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(689)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0.024**</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0.022**</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0.033**</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 (948)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0.008***</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(123)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6"/>
    <w:bookmarkStart w:id="28" w:name="X4844be58d02601639eeda8eb65d2f2d78a4345d"/>
    <w:p>
      <w:pPr>
        <w:pStyle w:val="Heading4"/>
      </w:pPr>
      <w:r>
        <w:rPr>
          <w:rStyle w:val="SectionNumber"/>
        </w:rPr>
        <w:t xml:space="preserve">1.1.2.4</w:t>
      </w:r>
      <w:r>
        <w:tab/>
      </w:r>
      <w:r>
        <w:t xml:space="preserve">Distribution of all variables by baseline knowledge</w:t>
      </w:r>
    </w:p>
    <w:p>
      <w:pPr>
        <w:pStyle w:val="TableCaption"/>
      </w:pPr>
      <w:bookmarkStart w:id="27" w:name="tab:DiffInfo"/>
      <w:bookmarkEnd w:id="27"/>
      <w:r>
        <w:t xml:space="preserve">Table 1.4:</w:t>
      </w:r>
      <w:r>
        <w:t xml:space="preserve"> </w:t>
      </w:r>
      <w:r>
        <w:t xml:space="preserve">Differences by initial level of knowledge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Initial Level of Knowledge</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 knowledge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 knowledge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 (1,055)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30.8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(1,453)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0.010**</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 (306)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0.002***</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8"/>
    <w:bookmarkStart w:id="30" w:name="Xea122200d1b2121e841f3617c13b70b6f38b662"/>
    <w:p>
      <w:pPr>
        <w:pStyle w:val="Heading4"/>
      </w:pPr>
      <w:r>
        <w:rPr>
          <w:rStyle w:val="SectionNumber"/>
        </w:rPr>
        <w:t xml:space="preserve">1.1.2.5</w:t>
      </w:r>
      <w:r>
        <w:tab/>
      </w:r>
      <w:r>
        <w:t xml:space="preserve">Distribution of all variables by temporal orientation</w:t>
      </w:r>
    </w:p>
    <w:p>
      <w:pPr>
        <w:pStyle w:val="TableCaption"/>
      </w:pPr>
      <w:bookmarkStart w:id="29" w:name="tab:DiffPresentBias"/>
      <w:bookmarkEnd w:id="29"/>
      <w:r>
        <w:t xml:space="preserve">Table 1.5:</w:t>
      </w:r>
      <w:r>
        <w:t xml:space="preserve"> </w:t>
      </w:r>
      <w:r>
        <w:t xml:space="preserve">Differences by temporal orientation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Temporal Orientation</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Future oriented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Present oriented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(693)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0.006***</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0.019**</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0.028**</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0.071*</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 (193)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 (134)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0.083*</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0"/>
    <w:bookmarkStart w:id="32" w:name="X72ac4ef500d6983ae686388cd5998eabde0a414"/>
    <w:p>
      <w:pPr>
        <w:pStyle w:val="Heading4"/>
      </w:pPr>
      <w:r>
        <w:rPr>
          <w:rStyle w:val="SectionNumber"/>
        </w:rPr>
        <w:t xml:space="preserve">1.1.2.6</w:t>
      </w:r>
      <w:r>
        <w:tab/>
      </w:r>
      <w:r>
        <w:t xml:space="preserve">Distribution of all variables by previous childcare usage</w:t>
      </w:r>
    </w:p>
    <w:p>
      <w:pPr>
        <w:pStyle w:val="TableCaption"/>
      </w:pPr>
      <w:bookmarkStart w:id="31" w:name="tab:DiffUse"/>
      <w:bookmarkEnd w:id="31"/>
      <w:r>
        <w:t xml:space="preserve">Table 1.6:</w:t>
      </w:r>
      <w:r>
        <w:t xml:space="preserve"> </w:t>
      </w:r>
      <w:r>
        <w:t xml:space="preserve">Differences by previous childcare usage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Previous Childcare Usage</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Never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Previous user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(658)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0.033**</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 (735)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0.007***</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0.11</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2"/>
    <w:bookmarkStart w:id="34" w:name="X705f45df5cb3b3d5a8c03a71b43af290b53c5ea"/>
    <w:p>
      <w:pPr>
        <w:pStyle w:val="Heading4"/>
      </w:pPr>
      <w:r>
        <w:rPr>
          <w:rStyle w:val="SectionNumber"/>
        </w:rPr>
        <w:t xml:space="preserve">1.1.2.7</w:t>
      </w:r>
      <w:r>
        <w:tab/>
      </w:r>
      <w:r>
        <w:t xml:space="preserve">Distribution of all variables by activity status</w:t>
      </w:r>
    </w:p>
    <w:p>
      <w:pPr>
        <w:pStyle w:val="TableCaption"/>
      </w:pPr>
      <w:bookmarkStart w:id="33" w:name="tab:DiffActive"/>
      <w:bookmarkEnd w:id="33"/>
      <w:r>
        <w:t xml:space="preserve">Table 1.7:</w:t>
      </w:r>
      <w:r>
        <w:t xml:space="preserve"> </w:t>
      </w:r>
      <w:r>
        <w:t xml:space="preserve">Differences by activity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Activity Status</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(895)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32.9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4"/>
    <w:bookmarkStart w:id="41" w:name="Xa976da6a845fa081773c0fe25eeb7011b0e8327"/>
    <w:p>
      <w:pPr>
        <w:pStyle w:val="Heading4"/>
      </w:pPr>
      <w:r>
        <w:rPr>
          <w:rStyle w:val="SectionNumber"/>
        </w:rPr>
        <w:t xml:space="preserve">1.1.2.8</w:t>
      </w:r>
      <w:r>
        <w:tab/>
      </w:r>
      <w:r>
        <w:t xml:space="preserve">Distribution of all variables by district</w:t>
      </w:r>
    </w:p>
    <w:p>
      <w:pPr>
        <w:pStyle w:val="FirstParagraph"/>
      </w:pPr>
      <w:r>
        <w:t xml:space="preserve">To perform the equality tests, we break down the comparison across districts in three parts: Paris vs. other districts, Seine-Saint-Denis vs. other districts, and Val de Marne.</w:t>
      </w:r>
    </w:p>
    <w:bookmarkStart w:id="36" w:name="paris-vs.-other-districts"/>
    <w:p>
      <w:pPr>
        <w:pStyle w:val="Heading5"/>
      </w:pPr>
      <w:r>
        <w:rPr>
          <w:rStyle w:val="SectionNumber"/>
        </w:rPr>
        <w:t xml:space="preserve">1.1.2.8.1</w:t>
      </w:r>
      <w:r>
        <w:tab/>
      </w:r>
      <w:r>
        <w:t xml:space="preserve">Paris vs. other districts</w:t>
      </w:r>
    </w:p>
    <w:p>
      <w:pPr>
        <w:pStyle w:val="TableCaption"/>
      </w:pPr>
      <w:bookmarkStart w:id="35" w:name="tab:DiffParis"/>
      <w:bookmarkEnd w:id="35"/>
      <w:r>
        <w:t xml:space="preserve">Table 1.8:</w:t>
      </w:r>
      <w:r>
        <w:t xml:space="preserve"> </w:t>
      </w:r>
      <w:r>
        <w:t xml:space="preserve">Differences by district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Paris comparison</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(690)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0.016**</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0.005***</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 (198)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6"/>
    <w:bookmarkStart w:id="38" w:name="seine-saint-denis"/>
    <w:p>
      <w:pPr>
        <w:pStyle w:val="Heading5"/>
      </w:pPr>
      <w:r>
        <w:rPr>
          <w:rStyle w:val="SectionNumber"/>
        </w:rPr>
        <w:t xml:space="preserve">1.1.2.8.2</w:t>
      </w:r>
      <w:r>
        <w:tab/>
      </w:r>
      <w:r>
        <w:t xml:space="preserve">Seine-Saint-Denis</w:t>
      </w:r>
    </w:p>
    <w:p>
      <w:pPr>
        <w:pStyle w:val="TableCaption"/>
      </w:pPr>
      <w:bookmarkStart w:id="37" w:name="tab:DiffSSD"/>
      <w:bookmarkEnd w:id="37"/>
      <w:r>
        <w:t xml:space="preserve">Table 1.9:</w:t>
      </w:r>
      <w:r>
        <w:t xml:space="preserve"> </w:t>
      </w:r>
      <w:r>
        <w:t xml:space="preserve">Differences by district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Seine-Saint-Denis comparison</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(849)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(271)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0.032**</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0.004***</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0.13</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0.005***</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 (273)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8"/>
    <w:bookmarkStart w:id="40" w:name="val-de-marne"/>
    <w:p>
      <w:pPr>
        <w:pStyle w:val="Heading5"/>
      </w:pPr>
      <w:r>
        <w:rPr>
          <w:rStyle w:val="SectionNumber"/>
        </w:rPr>
        <w:t xml:space="preserve">1.1.2.8.3</w:t>
      </w:r>
      <w:r>
        <w:tab/>
      </w:r>
      <w:r>
        <w:t xml:space="preserve">Val de Marne</w:t>
      </w:r>
    </w:p>
    <w:p>
      <w:pPr>
        <w:pStyle w:val="TableCaption"/>
      </w:pPr>
      <w:bookmarkStart w:id="39" w:name="tab:DiffVDM"/>
      <w:bookmarkEnd w:id="39"/>
      <w:r>
        <w:t xml:space="preserve">Table 1.10:</w:t>
      </w:r>
      <w:r>
        <w:t xml:space="preserve"> </w:t>
      </w:r>
      <w:r>
        <w:t xml:space="preserve">Differences by district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Val-de-Marne comparison</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(701)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 (419)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0.021**</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low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0.032**</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0.030**</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0.036**</w:t>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50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w:t>
            </w:r>
          </w:p>
        </w:tc>
      </w:tr>
      <w:tr>
        <w:trPr>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40"/>
    <w:bookmarkEnd w:id="41"/>
    <w:bookmarkEnd w:id="42"/>
    <w:bookmarkStart w:id="43" w:name="comment-2---correlation-matrix"/>
    <w:p>
      <w:pPr>
        <w:pStyle w:val="Heading3"/>
      </w:pPr>
      <w:r>
        <w:rPr>
          <w:rStyle w:val="SectionNumber"/>
        </w:rPr>
        <w:t xml:space="preserve">1.1.3</w:t>
      </w:r>
      <w:r>
        <w:tab/>
      </w:r>
      <w:r>
        <w:t xml:space="preserve">Comment 2 - Correlation matrix</w:t>
      </w:r>
    </w:p>
    <w:p>
      <w:pPr>
        <w:pStyle w:val="FirstParagraph"/>
      </w:pPr>
      <w:r>
        <w:t xml:space="preserve">Furthermore, we know from previous research that SES, migration background, baseline knowledge, temporal orientation, previous childcare usage and activity status are correlated. It would be very useful to provide information to which degree this was the case to get a better understanding of the relevance of the different indicators of inequalities under view.</w:t>
      </w:r>
    </w:p>
    <w:p>
      <w:pPr>
        <w:pStyle w:val="BodyText"/>
      </w:pPr>
      <w:r>
        <w:t xml:space="preserve">This plot shows the tetrachoric correlation coefficients of the different variables. We see that in any case we find perfect correlation.</w:t>
      </w:r>
    </w:p>
    <w:p>
      <w:pPr>
        <w:pStyle w:val="BodyText"/>
      </w:pPr>
      <w:r>
        <w:t xml:space="preserve">The strongest correlations were found between migration background and knowledge (-0.57), followed by knowledge and previous early childcare use (-0.55). This suggests that individuals with a migration background tend to exhibit lower baseline knowledge, while those who have previously utilized early childcare services demonstrate a higher level of knowledge.</w:t>
      </w:r>
    </w:p>
    <w:p>
      <w:pPr>
        <w:pStyle w:val="BodyText"/>
      </w:pPr>
      <w:r>
        <w:t xml:space="preserve">Moderate correlations were observed between migration background and temporal orientation (-0.49), migration background and activity (-0.48), and between socioeconomic status (SES) and knowledge (0.47). SES also exhibited moderate positive correlations with activity (0.43) and temporal orientation (0.33), while displaying a negative correlation with migration background (-0.32).</w:t>
      </w:r>
    </w:p>
    <w:bookmarkEnd w:id="43"/>
    <w:bookmarkStart w:id="45" w:name="Xe0fb7738e5f0c11d50802e9965dabb33f2759d6"/>
    <w:p>
      <w:pPr>
        <w:pStyle w:val="Heading3"/>
      </w:pPr>
      <w:r>
        <w:rPr>
          <w:rStyle w:val="SectionNumber"/>
        </w:rPr>
        <w:t xml:space="preserve">1.1.4</w:t>
      </w:r>
      <w:r>
        <w:tab/>
      </w:r>
      <w:r>
        <w:t xml:space="preserve">Comment 4 - Interaction effects Active SES</w:t>
      </w:r>
    </w:p>
    <w:p>
      <w:pPr>
        <w:pStyle w:val="FirstParagraph"/>
      </w:pPr>
      <w:r>
        <w:t xml:space="preserve">“</w:t>
      </w:r>
      <w:r>
        <w:t xml:space="preserve">The increase in applications was primarily driven by households in which the mother was inactive at the start of the study</w:t>
      </w:r>
      <w:r>
        <w:t xml:space="preserve">”</w:t>
      </w:r>
      <w:r>
        <w:t xml:space="preserve">.</w:t>
      </w:r>
    </w:p>
    <w:p>
      <w:pPr>
        <w:pStyle w:val="TableCaption"/>
      </w:pPr>
      <w:bookmarkStart w:id="44" w:name="tab:InteractionSESActive"/>
      <w:bookmarkEnd w:id="44"/>
      <w:r>
        <w:t xml:space="preserve">Table 1.11:</w:t>
      </w:r>
      <w:r>
        <w:t xml:space="preserve"> </w:t>
      </w:r>
      <w:r>
        <w:t xml:space="preserve">Average effects on application and access to early childcare by level of education and employment status at baseline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Activity</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0.956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0.60]</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0.739</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0.35]</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0.532</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45"/>
    <w:bookmarkStart w:id="68" w:name="r1-page-9---norms"/>
    <w:p>
      <w:pPr>
        <w:pStyle w:val="Heading3"/>
      </w:pPr>
      <w:r>
        <w:rPr>
          <w:rStyle w:val="SectionNumber"/>
        </w:rPr>
        <w:t xml:space="preserve">1.1.5</w:t>
      </w:r>
      <w:r>
        <w:tab/>
      </w:r>
      <w:r>
        <w:t xml:space="preserve">R1 page 9 - Norms</w:t>
      </w:r>
    </w:p>
    <w:p>
      <w:pPr>
        <w:pStyle w:val="FirstParagraph"/>
      </w:pPr>
      <w:r>
        <w:t xml:space="preserve">“</w:t>
      </w:r>
      <w:r>
        <w:t xml:space="preserve">A potential lack of the study is the fact that gender/mothering/cultural norms were not studied as mechanism that might explain SES gaps – despite the factor that the authors themselves state in the introduction that it is exactly these norms that might explain SES-based differences in childcare usage. If possible, this would be a mechanism worth to be analyzed empirically. For a recent study that analyzed to which degree differences in mothers’ preferences can explain SES gaps in early childcare usage, cf. Steinberg &amp; Kleinert, 2021.</w:t>
      </w:r>
      <w:r>
        <w:t xml:space="preserve">”</w:t>
      </w:r>
    </w:p>
    <w:bookmarkStart w:id="46" w:name="prescriptive-norms"/>
    <w:p>
      <w:pPr>
        <w:pStyle w:val="Heading4"/>
      </w:pPr>
      <w:r>
        <w:rPr>
          <w:rStyle w:val="SectionNumber"/>
        </w:rPr>
        <w:t xml:space="preserve">1.1.5.1</w:t>
      </w:r>
      <w:r>
        <w:tab/>
      </w:r>
      <w:r>
        <w:t xml:space="preserve">Prescriptive norms</w:t>
      </w:r>
    </w:p>
    <w:bookmarkEnd w:id="46"/>
    <w:bookmarkStart w:id="56" w:name="information-only-early-childcare"/>
    <w:p>
      <w:pPr>
        <w:pStyle w:val="Heading4"/>
      </w:pPr>
      <w:r>
        <w:rPr>
          <w:rStyle w:val="SectionNumber"/>
        </w:rPr>
        <w:t xml:space="preserve">1.1.5.2</w:t>
      </w:r>
      <w:r>
        <w:tab/>
      </w:r>
      <w:r>
        <w:t xml:space="preserve">Information only early childcare</w:t>
      </w:r>
    </w:p>
    <w:p>
      <w:pPr>
        <w:pStyle w:val="TableCaption"/>
      </w:pPr>
      <w:bookmarkStart w:id="47" w:name="tab:NormsT1"/>
      <w:bookmarkEnd w:id="47"/>
      <w:r>
        <w:t xml:space="preserve">Table 1.12:</w:t>
      </w:r>
      <w:r>
        <w:t xml:space="preserve"> </w:t>
      </w:r>
      <w:r>
        <w:t xml:space="preserve">Average effects on application and access to early childcare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0.06]</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0.470</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0.961</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0.257</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Start w:id="49" w:name="information-support-early-childcare"/>
    <w:p>
      <w:pPr>
        <w:pStyle w:val="Heading5"/>
      </w:pPr>
      <w:r>
        <w:rPr>
          <w:rStyle w:val="SectionNumber"/>
        </w:rPr>
        <w:t xml:space="preserve">1.1.5.2.1</w:t>
      </w:r>
      <w:r>
        <w:tab/>
      </w:r>
      <w:r>
        <w:t xml:space="preserve">Information + Support early childcare</w:t>
      </w:r>
    </w:p>
    <w:p>
      <w:pPr>
        <w:pStyle w:val="TableCaption"/>
      </w:pPr>
      <w:bookmarkStart w:id="48" w:name="tab:Norms"/>
      <w:bookmarkEnd w:id="48"/>
      <w:r>
        <w:t xml:space="preserve">Table 1.13:</w:t>
      </w:r>
      <w:r>
        <w:t xml:space="preserve"> </w:t>
      </w:r>
      <w:r>
        <w:t xml:space="preserve">Average effects on application and access to early childcare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0.746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49"/>
    <w:bookmarkStart w:id="51" w:name="information-only-daycare"/>
    <w:p>
      <w:pPr>
        <w:pStyle w:val="Heading5"/>
      </w:pPr>
      <w:r>
        <w:rPr>
          <w:rStyle w:val="SectionNumber"/>
        </w:rPr>
        <w:t xml:space="preserve">1.1.5.2.2</w:t>
      </w:r>
      <w:r>
        <w:tab/>
      </w:r>
      <w:r>
        <w:t xml:space="preserve">Information only daycare</w:t>
      </w:r>
    </w:p>
    <w:p>
      <w:pPr>
        <w:pStyle w:val="TableCaption"/>
      </w:pPr>
      <w:bookmarkStart w:id="50" w:name="tab:NormsDaycareT1"/>
      <w:bookmarkEnd w:id="50"/>
      <w:r>
        <w:t xml:space="preserve">Table 1.14:</w:t>
      </w:r>
      <w:r>
        <w:t xml:space="preserve"> </w:t>
      </w:r>
      <w:r>
        <w:t xml:space="preserve">Average effects of the information only treatment on application and access to daycare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0.185</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51"/>
    <w:bookmarkStart w:id="53" w:name="information-support-daycare"/>
    <w:p>
      <w:pPr>
        <w:pStyle w:val="Heading5"/>
      </w:pPr>
      <w:r>
        <w:rPr>
          <w:rStyle w:val="SectionNumber"/>
        </w:rPr>
        <w:t xml:space="preserve">1.1.5.2.3</w:t>
      </w:r>
      <w:r>
        <w:tab/>
      </w:r>
      <w:r>
        <w:t xml:space="preserve">Information + support daycare</w:t>
      </w:r>
    </w:p>
    <w:p>
      <w:pPr>
        <w:pStyle w:val="TableCaption"/>
      </w:pPr>
      <w:bookmarkStart w:id="52" w:name="tab:NormsDaycare"/>
      <w:bookmarkEnd w:id="52"/>
      <w:r>
        <w:t xml:space="preserve">Table 1.15:</w:t>
      </w:r>
      <w:r>
        <w:t xml:space="preserve"> </w:t>
      </w:r>
      <w:r>
        <w:t xml:space="preserve">Average effects of the information only treatment on application and access to daycare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0.608</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53"/>
    <w:bookmarkStart w:id="55" w:name="interaction-ses-prescriptive-norms"/>
    <w:p>
      <w:pPr>
        <w:pStyle w:val="Heading5"/>
      </w:pPr>
      <w:r>
        <w:rPr>
          <w:rStyle w:val="SectionNumber"/>
        </w:rPr>
        <w:t xml:space="preserve">1.1.5.2.4</w:t>
      </w:r>
      <w:r>
        <w:tab/>
      </w:r>
      <w:r>
        <w:t xml:space="preserve">Interaction SES Prescriptive Norms</w:t>
      </w:r>
    </w:p>
    <w:p>
      <w:pPr>
        <w:pStyle w:val="TableCaption"/>
      </w:pPr>
      <w:bookmarkStart w:id="54" w:name="tab:InteractionSESNorms"/>
      <w:bookmarkEnd w:id="54"/>
      <w:r>
        <w:t xml:space="preserve">Table 1.16:</w:t>
      </w:r>
      <w:r>
        <w:t xml:space="preserve"> </w:t>
      </w:r>
      <w:r>
        <w:t xml:space="preserve">Average effects on application and access to early childcare by level of education and perceived prescriptive norms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Norms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0.34]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0.42]</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0.909</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0.211</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154</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55"/>
    <w:bookmarkEnd w:id="56"/>
    <w:bookmarkStart w:id="57" w:name="descriptive-norms"/>
    <w:p>
      <w:pPr>
        <w:pStyle w:val="Heading4"/>
      </w:pPr>
      <w:r>
        <w:rPr>
          <w:rStyle w:val="SectionNumber"/>
        </w:rPr>
        <w:t xml:space="preserve">1.1.5.3</w:t>
      </w:r>
      <w:r>
        <w:tab/>
      </w:r>
      <w:r>
        <w:t xml:space="preserve">Descriptive norms</w:t>
      </w:r>
    </w:p>
    <w:bookmarkEnd w:id="57"/>
    <w:bookmarkStart w:id="67" w:name="information-only-early-childcare-1"/>
    <w:p>
      <w:pPr>
        <w:pStyle w:val="Heading4"/>
      </w:pPr>
      <w:r>
        <w:rPr>
          <w:rStyle w:val="SectionNumber"/>
        </w:rPr>
        <w:t xml:space="preserve">1.1.5.4</w:t>
      </w:r>
      <w:r>
        <w:tab/>
      </w:r>
      <w:r>
        <w:t xml:space="preserve">Information only early childcare</w:t>
      </w:r>
    </w:p>
    <w:p>
      <w:pPr>
        <w:pStyle w:val="TableCaption"/>
      </w:pPr>
      <w:bookmarkStart w:id="58" w:name="tab:NormsDecriptiveT1"/>
      <w:bookmarkEnd w:id="58"/>
      <w:r>
        <w:t xml:space="preserve">Table 1.17:</w:t>
      </w:r>
      <w:r>
        <w:t xml:space="preserve"> </w:t>
      </w:r>
      <w:r>
        <w:t xml:space="preserve">Average effects on application and access to early childcare by whether more than half of firends and relatives use early chilcare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0.598</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0.281</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Start w:id="60" w:name="information-support-early-childcare-1"/>
    <w:p>
      <w:pPr>
        <w:pStyle w:val="Heading5"/>
      </w:pPr>
      <w:r>
        <w:rPr>
          <w:rStyle w:val="SectionNumber"/>
        </w:rPr>
        <w:t xml:space="preserve">1.1.5.4.1</w:t>
      </w:r>
      <w:r>
        <w:tab/>
      </w:r>
      <w:r>
        <w:t xml:space="preserve">Information + Support early childcare</w:t>
      </w:r>
    </w:p>
    <w:p>
      <w:pPr>
        <w:pStyle w:val="TableCaption"/>
      </w:pPr>
      <w:bookmarkStart w:id="59" w:name="tab:NormsDecriptive"/>
      <w:bookmarkEnd w:id="59"/>
      <w:r>
        <w:t xml:space="preserve">Table 1.18:</w:t>
      </w:r>
      <w:r>
        <w:t xml:space="preserve"> </w:t>
      </w:r>
      <w:r>
        <w:t xml:space="preserve">Average effects on application and access to early childcare by whether more than half of firends and relatives use early chilcare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0.36]</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0.915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0.287</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60"/>
    <w:bookmarkStart w:id="62" w:name="information-only-daycare-1"/>
    <w:p>
      <w:pPr>
        <w:pStyle w:val="Heading5"/>
      </w:pPr>
      <w:r>
        <w:rPr>
          <w:rStyle w:val="SectionNumber"/>
        </w:rPr>
        <w:t xml:space="preserve">1.1.5.4.2</w:t>
      </w:r>
      <w:r>
        <w:tab/>
      </w:r>
      <w:r>
        <w:t xml:space="preserve">Information only daycare</w:t>
      </w:r>
    </w:p>
    <w:p>
      <w:pPr>
        <w:pStyle w:val="TableCaption"/>
      </w:pPr>
      <w:bookmarkStart w:id="61" w:name="tab:DescriptiveDaycareT1"/>
      <w:bookmarkEnd w:id="61"/>
      <w:r>
        <w:t xml:space="preserve">Table 1.19:</w:t>
      </w:r>
      <w:r>
        <w:t xml:space="preserve"> </w:t>
      </w:r>
      <w:r>
        <w:t xml:space="preserve">Average effects on application and access to daycare by  whether more than half of firends and relatives use early chilcare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0.150</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0.938</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62"/>
    <w:bookmarkStart w:id="64" w:name="information-support-daycare-1"/>
    <w:p>
      <w:pPr>
        <w:pStyle w:val="Heading5"/>
      </w:pPr>
      <w:r>
        <w:rPr>
          <w:rStyle w:val="SectionNumber"/>
        </w:rPr>
        <w:t xml:space="preserve">1.1.5.4.3</w:t>
      </w:r>
      <w:r>
        <w:tab/>
      </w:r>
      <w:r>
        <w:t xml:space="preserve">Information + support daycare</w:t>
      </w:r>
    </w:p>
    <w:p>
      <w:pPr>
        <w:pStyle w:val="TableCaption"/>
      </w:pPr>
      <w:bookmarkStart w:id="63" w:name="tab:NormsDaycareDescriptive"/>
      <w:bookmarkEnd w:id="63"/>
      <w:r>
        <w:t xml:space="preserve">Table 1.20:</w:t>
      </w:r>
      <w:r>
        <w:t xml:space="preserve"> </w:t>
      </w:r>
      <w:r>
        <w:t xml:space="preserve">Average effects on application and access to daycare by  whether more than half of firends and relatives use early chilcare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64"/>
    <w:bookmarkStart w:id="66" w:name="interaction-ses-descriptive-norms"/>
    <w:p>
      <w:pPr>
        <w:pStyle w:val="Heading5"/>
      </w:pPr>
      <w:r>
        <w:rPr>
          <w:rStyle w:val="SectionNumber"/>
        </w:rPr>
        <w:t xml:space="preserve">1.1.5.4.4</w:t>
      </w:r>
      <w:r>
        <w:tab/>
      </w:r>
      <w:r>
        <w:t xml:space="preserve">Interaction SES Descriptive Norms</w:t>
      </w:r>
    </w:p>
    <w:p>
      <w:pPr>
        <w:pStyle w:val="TableCaption"/>
      </w:pPr>
      <w:bookmarkStart w:id="65" w:name="tab:InteractionSESDescriptiveNorms"/>
      <w:bookmarkEnd w:id="65"/>
      <w:r>
        <w:t xml:space="preserve">Table 1.21:</w:t>
      </w:r>
      <w:r>
        <w:t xml:space="preserve"> </w:t>
      </w:r>
      <w:r>
        <w:t xml:space="preserve">Average effects on application and access to early childcare by level of education and descriptive social norms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DescriptiveNorms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0.980</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0.25]</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0.890</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66"/>
    <w:bookmarkEnd w:id="67"/>
    <w:bookmarkEnd w:id="68"/>
    <w:bookmarkStart w:id="83" w:name="t1-page-10-attitudes-ses"/>
    <w:p>
      <w:pPr>
        <w:pStyle w:val="Heading3"/>
      </w:pPr>
      <w:r>
        <w:rPr>
          <w:rStyle w:val="SectionNumber"/>
        </w:rPr>
        <w:t xml:space="preserve">1.1.6</w:t>
      </w:r>
      <w:r>
        <w:tab/>
      </w:r>
      <w:r>
        <w:t xml:space="preserve">T1 page 10: Attitudes &amp; SES</w:t>
      </w:r>
    </w:p>
    <w:p>
      <w:pPr>
        <w:pStyle w:val="FirstParagraph"/>
      </w:pPr>
      <w:r>
        <w:t xml:space="preserve">Furthermore, it would be extremely interesting to test whether the shown effects are limited to low SES groups with positive attitudes to early childcare and with economic activity at baseline, if possible.</w:t>
      </w:r>
    </w:p>
    <w:bookmarkStart w:id="75" w:name="X74a8dbe90a6eea2c1799a44764d5b0dc93b0a52"/>
    <w:p>
      <w:pPr>
        <w:pStyle w:val="Heading4"/>
      </w:pPr>
      <w:r>
        <w:rPr>
          <w:rStyle w:val="SectionNumber"/>
        </w:rPr>
        <w:t xml:space="preserve">1.1.6.1</w:t>
      </w:r>
      <w:r>
        <w:tab/>
      </w:r>
      <w:r>
        <w:t xml:space="preserve">Beliefs about the benefits of early childcare</w:t>
      </w:r>
    </w:p>
    <w:bookmarkStart w:id="70" w:name="early-childcare"/>
    <w:p>
      <w:pPr>
        <w:pStyle w:val="Heading5"/>
      </w:pPr>
      <w:r>
        <w:rPr>
          <w:rStyle w:val="SectionNumber"/>
        </w:rPr>
        <w:t xml:space="preserve">1.1.6.1.1</w:t>
      </w:r>
      <w:r>
        <w:tab/>
      </w:r>
      <w:r>
        <w:t xml:space="preserve">Early childcare</w:t>
      </w:r>
    </w:p>
    <w:p>
      <w:pPr>
        <w:pStyle w:val="TableCaption"/>
      </w:pPr>
      <w:bookmarkStart w:id="69" w:name="tab:LikertReturnHK1or0"/>
      <w:bookmarkEnd w:id="69"/>
      <w:r>
        <w:t xml:space="preserve">Table 1.22:</w:t>
      </w:r>
      <w:r>
        <w:t xml:space="preserve"> </w:t>
      </w:r>
      <w:r>
        <w:t xml:space="preserve">Average effects on application and access to early childcare by beliefs in early childcare benefits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0"/>
    <w:bookmarkStart w:id="72" w:name="daycare"/>
    <w:p>
      <w:pPr>
        <w:pStyle w:val="Heading5"/>
      </w:pPr>
      <w:r>
        <w:rPr>
          <w:rStyle w:val="SectionNumber"/>
        </w:rPr>
        <w:t xml:space="preserve">1.1.6.1.2</w:t>
      </w:r>
      <w:r>
        <w:tab/>
      </w:r>
      <w:r>
        <w:t xml:space="preserve">Daycare</w:t>
      </w:r>
    </w:p>
    <w:p>
      <w:pPr>
        <w:pStyle w:val="TableCaption"/>
      </w:pPr>
      <w:bookmarkStart w:id="71" w:name="tab:BeliefsReturnDaycare"/>
      <w:bookmarkEnd w:id="71"/>
      <w:r>
        <w:t xml:space="preserve">Table 1.23:</w:t>
      </w:r>
      <w:r>
        <w:t xml:space="preserve"> </w:t>
      </w:r>
      <w:r>
        <w:t xml:space="preserve">Average effects on application and access to daycare by beliefs in early childcare benefits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0.347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0.23]</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2"/>
    <w:bookmarkStart w:id="74" w:name="interaction-ses-and-beliefs"/>
    <w:p>
      <w:pPr>
        <w:pStyle w:val="Heading5"/>
      </w:pPr>
      <w:r>
        <w:rPr>
          <w:rStyle w:val="SectionNumber"/>
        </w:rPr>
        <w:t xml:space="preserve">1.1.6.1.3</w:t>
      </w:r>
      <w:r>
        <w:tab/>
      </w:r>
      <w:r>
        <w:t xml:space="preserve">Interaction SES and beliefs</w:t>
      </w:r>
    </w:p>
    <w:p>
      <w:pPr>
        <w:pStyle w:val="TableCaption"/>
      </w:pPr>
      <w:bookmarkStart w:id="73" w:name="tab:InteractionSESBeliefs"/>
      <w:bookmarkEnd w:id="73"/>
      <w:r>
        <w:t xml:space="preserve">Table 1.24:</w:t>
      </w:r>
      <w:r>
        <w:t xml:space="preserve"> </w:t>
      </w:r>
      <w:r>
        <w:t xml:space="preserve">Average effects on application and access to early childcare by level of education and beliefs in the benefits of early childcare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Beliefs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0.944</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0.21]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0.729</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0.778</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(0.15)</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0.72]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4"/>
    <w:bookmarkEnd w:id="75"/>
    <w:bookmarkStart w:id="78" w:name="trust-in-early-childcare-facilities"/>
    <w:p>
      <w:pPr>
        <w:pStyle w:val="Heading4"/>
      </w:pPr>
      <w:r>
        <w:rPr>
          <w:rStyle w:val="SectionNumber"/>
        </w:rPr>
        <w:t xml:space="preserve">1.1.6.2</w:t>
      </w:r>
      <w:r>
        <w:tab/>
      </w:r>
      <w:r>
        <w:t xml:space="preserve">Trust in early childcare facilities</w:t>
      </w:r>
    </w:p>
    <w:bookmarkStart w:id="77" w:name="early-childcare-1"/>
    <w:p>
      <w:pPr>
        <w:pStyle w:val="Heading5"/>
      </w:pPr>
      <w:r>
        <w:rPr>
          <w:rStyle w:val="SectionNumber"/>
        </w:rPr>
        <w:t xml:space="preserve">1.1.6.2.1</w:t>
      </w:r>
      <w:r>
        <w:tab/>
      </w:r>
      <w:r>
        <w:t xml:space="preserve">Early childcare</w:t>
      </w:r>
    </w:p>
    <w:p>
      <w:pPr>
        <w:pStyle w:val="TableCaption"/>
      </w:pPr>
      <w:bookmarkStart w:id="76" w:name="tab:TrustCreche1or0"/>
      <w:bookmarkEnd w:id="76"/>
      <w:r>
        <w:t xml:space="preserve">Table 1.25:</w:t>
      </w:r>
      <w:r>
        <w:t xml:space="preserve"> </w:t>
      </w:r>
      <w:r>
        <w:t xml:space="preserve">Average effects on application and access to early childcare by trust in early childcare services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0.13]</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0.71]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0.037</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240</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7"/>
    <w:bookmarkEnd w:id="78"/>
    <w:bookmarkStart w:id="82" w:name="daycare-1"/>
    <w:p>
      <w:pPr>
        <w:pStyle w:val="Heading4"/>
      </w:pPr>
      <w:r>
        <w:rPr>
          <w:rStyle w:val="SectionNumber"/>
        </w:rPr>
        <w:t xml:space="preserve">1.1.6.3</w:t>
      </w:r>
      <w:r>
        <w:tab/>
      </w:r>
      <w:r>
        <w:t xml:space="preserve">Daycare</w:t>
      </w:r>
    </w:p>
    <w:p>
      <w:pPr>
        <w:pStyle w:val="TableCaption"/>
      </w:pPr>
      <w:bookmarkStart w:id="79" w:name="tab:TrustDaycare"/>
      <w:bookmarkEnd w:id="79"/>
      <w:r>
        <w:t xml:space="preserve">Table 1.26:</w:t>
      </w:r>
      <w:r>
        <w:t xml:space="preserve"> </w:t>
      </w:r>
      <w:r>
        <w:t xml:space="preserve">Average effects on application and access to daycare by trust in early childcare services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0.23]</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0.43]</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0.301</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240</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Start w:id="81" w:name="interaction-ses-and-trust"/>
    <w:p>
      <w:pPr>
        <w:pStyle w:val="Heading5"/>
      </w:pPr>
      <w:r>
        <w:rPr>
          <w:rStyle w:val="SectionNumber"/>
        </w:rPr>
        <w:t xml:space="preserve">1.1.6.3.1</w:t>
      </w:r>
      <w:r>
        <w:tab/>
      </w:r>
      <w:r>
        <w:t xml:space="preserve">Interaction SES and trust</w:t>
      </w:r>
    </w:p>
    <w:p>
      <w:pPr>
        <w:pStyle w:val="TableCaption"/>
      </w:pPr>
      <w:bookmarkStart w:id="80" w:name="tab:InteractionSESTrust"/>
      <w:bookmarkEnd w:id="80"/>
      <w:r>
        <w:t xml:space="preserve">Table 1.27:</w:t>
      </w:r>
      <w:r>
        <w:t xml:space="preserve"> </w:t>
      </w:r>
      <w:r>
        <w:t xml:space="preserve">Average effects on application and access to early childcare by level of education and Trusts towards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Trust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0.20]</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(0.15)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0.35]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(0.23)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1.18]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1"/>
    <w:bookmarkEnd w:id="82"/>
    <w:bookmarkEnd w:id="83"/>
    <w:bookmarkEnd w:id="84"/>
    <w:bookmarkStart w:id="97" w:name="reviewer-2"/>
    <w:p>
      <w:pPr>
        <w:pStyle w:val="Heading2"/>
      </w:pPr>
      <w:r>
        <w:rPr>
          <w:rStyle w:val="SectionNumber"/>
        </w:rPr>
        <w:t xml:space="preserve">1.2</w:t>
      </w:r>
      <w:r>
        <w:tab/>
      </w:r>
      <w:r>
        <w:t xml:space="preserve">Reviewer 2</w:t>
      </w:r>
    </w:p>
    <w:p>
      <w:pPr>
        <w:pStyle w:val="FirstParagraph"/>
      </w:pPr>
      <w:r>
        <w:t xml:space="preserve">“</w:t>
      </w:r>
      <w:r>
        <w:t xml:space="preserve">I also wonder whether it wasn’t possible to ask a bit more in the endline survey on the perceived reasons why families who applied for childcare did not actually access it? I noticed there is a question in the endline survey (p. 90) on the reason why people did not use their preferred mode of childcare. Could that information be used in an analysis to shed more light on the reasons why people who have applied but not used childcare, i.e. structural barriers?</w:t>
      </w:r>
      <w:r>
        <w:t xml:space="preserve">”</w:t>
      </w:r>
    </w:p>
    <w:bookmarkStart w:id="88" w:name="Xb8e55c063affd77e61aa9fbf913892b4057288b"/>
    <w:p>
      <w:pPr>
        <w:pStyle w:val="Heading4"/>
      </w:pPr>
      <w:r>
        <w:rPr>
          <w:rStyle w:val="SectionNumber"/>
        </w:rPr>
        <w:t xml:space="preserve">1.2.0.1</w:t>
      </w:r>
      <w:r>
        <w:tab/>
      </w:r>
      <w:r>
        <w:t xml:space="preserve">Reasons why they did not access any early childcare facility</w:t>
      </w:r>
    </w:p>
    <w:p>
      <w:pPr>
        <w:pStyle w:val="FirstParagraph"/>
      </w:pPr>
      <w:r>
        <w:drawing>
          <wp:inline>
            <wp:extent cx="5969000" cy="3730624"/>
            <wp:effectExtent b="0" l="0" r="0" t="0"/>
            <wp:docPr descr="" title="" id="86" name="Picture"/>
            <a:graphic>
              <a:graphicData uri="http://schemas.openxmlformats.org/drawingml/2006/picture">
                <pic:pic>
                  <pic:nvPicPr>
                    <pic:cNvPr descr="Analysis_Laudine_R-R_files/figure-docx/GraphReasonsNoECS-1.png" id="87" name="Picture"/>
                    <pic:cNvPicPr>
                      <a:picLocks noChangeArrowheads="1" noChangeAspect="1"/>
                    </pic:cNvPicPr>
                  </pic:nvPicPr>
                  <pic:blipFill>
                    <a:blip r:embed="rId85"/>
                    <a:stretch>
                      <a:fillRect/>
                    </a:stretch>
                  </pic:blipFill>
                  <pic:spPr bwMode="auto">
                    <a:xfrm>
                      <a:off x="0" y="0"/>
                      <a:ext cx="5969000" cy="3730624"/>
                    </a:xfrm>
                    <a:prstGeom prst="rect">
                      <a:avLst/>
                    </a:prstGeom>
                    <a:noFill/>
                    <a:ln w="9525">
                      <a:noFill/>
                      <a:headEnd/>
                      <a:tailEnd/>
                    </a:ln>
                  </pic:spPr>
                </pic:pic>
              </a:graphicData>
            </a:graphic>
          </wp:inline>
        </w:drawing>
      </w:r>
    </w:p>
    <w:bookmarkEnd w:id="88"/>
    <w:bookmarkStart w:id="92" w:name="X684283e91800663d12ce579fc3f1b4ab80869ad"/>
    <w:p>
      <w:pPr>
        <w:pStyle w:val="Heading4"/>
      </w:pPr>
      <w:r>
        <w:rPr>
          <w:rStyle w:val="SectionNumber"/>
        </w:rPr>
        <w:t xml:space="preserve">1.2.0.2</w:t>
      </w:r>
      <w:r>
        <w:tab/>
      </w:r>
      <w:r>
        <w:t xml:space="preserve">Reasons why people did not use their preferred mode of childcare by SES</w:t>
      </w:r>
    </w:p>
    <w:p>
      <w:pPr>
        <w:pStyle w:val="FirstParagraph"/>
      </w:pPr>
      <w:r>
        <w:drawing>
          <wp:inline>
            <wp:extent cx="5969000" cy="3730624"/>
            <wp:effectExtent b="0" l="0" r="0" t="0"/>
            <wp:docPr descr="" title="" id="90" name="Picture"/>
            <a:graphic>
              <a:graphicData uri="http://schemas.openxmlformats.org/drawingml/2006/picture">
                <pic:pic>
                  <pic:nvPicPr>
                    <pic:cNvPr descr="Analysis_Laudine_R-R_files/figure-docx/GraphReasonIdealSES-1.png" id="91" name="Picture"/>
                    <pic:cNvPicPr>
                      <a:picLocks noChangeArrowheads="1" noChangeAspect="1"/>
                    </pic:cNvPicPr>
                  </pic:nvPicPr>
                  <pic:blipFill>
                    <a:blip r:embed="rId89"/>
                    <a:stretch>
                      <a:fillRect/>
                    </a:stretch>
                  </pic:blipFill>
                  <pic:spPr bwMode="auto">
                    <a:xfrm>
                      <a:off x="0" y="0"/>
                      <a:ext cx="5969000" cy="3730624"/>
                    </a:xfrm>
                    <a:prstGeom prst="rect">
                      <a:avLst/>
                    </a:prstGeom>
                    <a:noFill/>
                    <a:ln w="9525">
                      <a:noFill/>
                      <a:headEnd/>
                      <a:tailEnd/>
                    </a:ln>
                  </pic:spPr>
                </pic:pic>
              </a:graphicData>
            </a:graphic>
          </wp:inline>
        </w:drawing>
      </w:r>
    </w:p>
    <w:bookmarkEnd w:id="92"/>
    <w:bookmarkStart w:id="96" w:name="Xdc3048167f789d978d7fe7f918e2486ced1166d"/>
    <w:p>
      <w:pPr>
        <w:pStyle w:val="Heading4"/>
      </w:pPr>
      <w:r>
        <w:rPr>
          <w:rStyle w:val="SectionNumber"/>
        </w:rPr>
        <w:t xml:space="preserve">1.2.0.3</w:t>
      </w:r>
      <w:r>
        <w:tab/>
      </w:r>
      <w:r>
        <w:t xml:space="preserve">Reasons why people did not use their preferred mode of childcare by migration background</w:t>
      </w:r>
    </w:p>
    <w:p>
      <w:pPr>
        <w:pStyle w:val="FirstParagraph"/>
      </w:pPr>
      <w:r>
        <w:drawing>
          <wp:inline>
            <wp:extent cx="5969000" cy="3730624"/>
            <wp:effectExtent b="0" l="0" r="0" t="0"/>
            <wp:docPr descr="" title="" id="94" name="Picture"/>
            <a:graphic>
              <a:graphicData uri="http://schemas.openxmlformats.org/drawingml/2006/picture">
                <pic:pic>
                  <pic:nvPicPr>
                    <pic:cNvPr descr="Analysis_Laudine_R-R_files/figure-docx/GraphReasonIdealMigration-1.png" id="95" name="Picture"/>
                    <pic:cNvPicPr>
                      <a:picLocks noChangeArrowheads="1" noChangeAspect="1"/>
                    </pic:cNvPicPr>
                  </pic:nvPicPr>
                  <pic:blipFill>
                    <a:blip r:embed="rId93"/>
                    <a:stretch>
                      <a:fillRect/>
                    </a:stretch>
                  </pic:blipFill>
                  <pic:spPr bwMode="auto">
                    <a:xfrm>
                      <a:off x="0" y="0"/>
                      <a:ext cx="5969000" cy="3730624"/>
                    </a:xfrm>
                    <a:prstGeom prst="rect">
                      <a:avLst/>
                    </a:prstGeom>
                    <a:noFill/>
                    <a:ln w="9525">
                      <a:noFill/>
                      <a:headEnd/>
                      <a:tailEnd/>
                    </a:ln>
                  </pic:spPr>
                </pic:pic>
              </a:graphicData>
            </a:graphic>
          </wp:inline>
        </w:drawing>
      </w:r>
    </w:p>
    <w:bookmarkEnd w:id="96"/>
    <w:bookmarkEnd w:id="97"/>
    <w:bookmarkEnd w:id="98"/>
    <w:sectPr w:rsidR="00895209" w:rsidRPr="00014396">
      <w:headerReference r:id="rId11" w:type="even"/>
      <w:headerReference r:id="rId9" w:type="default"/>
      <w:footerReference r:id="rId12" w:type="even"/>
      <w:footerReference r:id="rId14" w:type="default"/>
      <w:headerReference r:id="rId10" w:type="first"/>
      <w:footerReference r:id="rId13" w:type="first"/>
      <w:pgSz w:h="15840" w:w="12240"/>
      <w:pgMar w:bottom="1417" w:footer="720" w:gutter="0" w:header="720" w:left="1417" w:right="1417" w:top="1417"/>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8108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64AE" w14:textId="77777777" w:rsidR="00501EC2" w:rsidRDefault="00501EC2">
    <w:pPr>
      <w:tabs>
        <w:tab w:val="center" w:pos="4703"/>
        <w:tab w:val="right" w:pos="9406"/>
      </w:tabs>
      <w:spacing w:before="180" w:after="180"/>
      <w:jc w:val="both"/>
      <w:rPr>
        <w:rFonts w:eastAsia="EB Garamond" w:cs="EB Garamond"/>
      </w:rPr>
    </w:pPr>
  </w:p>
  <w:p w14:paraId="03B2372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FAF27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3A63"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54CF"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64A"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4E1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3"/>
    <w:multiLevelType w:val="singleLevel"/>
    <w:tmpl w:val="9DD8E27C"/>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FFFFFF89"/>
    <w:multiLevelType w:val="singleLevel"/>
    <w:tmpl w:val="FF6452F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000A990"/>
    <w:multiLevelType w:val="multilevel"/>
    <w:tmpl w:val="1AF6A5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3">
    <w:nsid w:val="0000A991"/>
    <w:multiLevelType w:val="multilevel"/>
    <w:tmpl w:val="DFAE929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4">
    <w:nsid w:val="33592A9D"/>
    <w:multiLevelType w:val="multilevel"/>
    <w:tmpl w:val="1F12620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5">
    <w:nsid w:val="431950B2"/>
    <w:multiLevelType w:val="multilevel"/>
    <w:tmpl w:val="25744F7C"/>
    <w:lvl w:ilvl="0">
      <w:start w:val="1"/>
      <w:numFmt w:val="lowerRoman"/>
      <w:lvlText w:val="(%1)"/>
      <w:lvlJc w:val="left"/>
      <w:pPr>
        <w:ind w:hanging="480" w:left="720"/>
      </w:pPr>
    </w:lvl>
    <w:lvl w:ilvl="1">
      <w:start w:val="1"/>
      <w:numFmt w:val="lowerRoman"/>
      <w:lvlText w:val="(%2)"/>
      <w:lvlJc w:val="left"/>
      <w:pPr>
        <w:ind w:hanging="480" w:left="1440"/>
      </w:pPr>
    </w:lvl>
    <w:lvl w:ilvl="2">
      <w:start w:val="1"/>
      <w:numFmt w:val="lowerRoman"/>
      <w:lvlText w:val="(%3)"/>
      <w:lvlJc w:val="left"/>
      <w:pPr>
        <w:ind w:hanging="480" w:left="2160"/>
      </w:pPr>
    </w:lvl>
    <w:lvl w:ilvl="3">
      <w:start w:val="1"/>
      <w:numFmt w:val="lowerRoman"/>
      <w:lvlText w:val="(%4)"/>
      <w:lvlJc w:val="left"/>
      <w:pPr>
        <w:ind w:hanging="480" w:left="2880"/>
      </w:pPr>
    </w:lvl>
    <w:lvl w:ilvl="4">
      <w:start w:val="1"/>
      <w:numFmt w:val="lowerRoman"/>
      <w:lvlText w:val="(%5)"/>
      <w:lvlJc w:val="left"/>
      <w:pPr>
        <w:ind w:hanging="480" w:left="3600"/>
      </w:pPr>
    </w:lvl>
    <w:lvl w:ilvl="5">
      <w:start w:val="1"/>
      <w:numFmt w:val="lowerRoman"/>
      <w:lvlText w:val="(%6)"/>
      <w:lvlJc w:val="left"/>
      <w:pPr>
        <w:ind w:hanging="480" w:left="4320"/>
      </w:pPr>
    </w:lvl>
    <w:lvl w:ilvl="6">
      <w:start w:val="1"/>
      <w:numFmt w:val="lowerRoman"/>
      <w:lvlText w:val="(%7)"/>
      <w:lvlJc w:val="left"/>
      <w:pPr>
        <w:ind w:hanging="480" w:left="5040"/>
      </w:pPr>
    </w:lvl>
    <w:lvl w:ilvl="7">
      <w:start w:val="1"/>
      <w:numFmt w:val="lowerRoman"/>
      <w:lvlText w:val="(%8)"/>
      <w:lvlJc w:val="left"/>
      <w:pPr>
        <w:ind w:hanging="480" w:left="5760"/>
      </w:pPr>
    </w:lvl>
    <w:lvl w:ilvl="8">
      <w:start w:val="1"/>
      <w:numFmt w:val="lowerRoman"/>
      <w:lvlText w:val="(%9)"/>
      <w:lvlJc w:val="left"/>
      <w:pPr>
        <w:ind w:hanging="480" w:left="6480"/>
      </w:pPr>
    </w:lvl>
  </w:abstractNum>
  <w:abstractNum w15:restartNumberingAfterBreak="0" w:abstractNumId="6">
    <w:nsid w:val="47B0686A"/>
    <w:multiLevelType w:val="multilevel"/>
    <w:tmpl w:val="E47CE4A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7">
    <w:nsid w:val="48E95C7F"/>
    <w:multiLevelType w:val="multilevel"/>
    <w:tmpl w:val="9746DABA"/>
    <w:lvl w:ilvl="0">
      <w:start w:val="3"/>
      <w:numFmt w:val="lowerRoman"/>
      <w:lvlText w:val="(%1)"/>
      <w:lvlJc w:val="left"/>
      <w:pPr>
        <w:ind w:hanging="480" w:left="720"/>
      </w:pPr>
    </w:lvl>
    <w:lvl w:ilvl="1">
      <w:start w:val="3"/>
      <w:numFmt w:val="lowerRoman"/>
      <w:lvlText w:val="(%2)"/>
      <w:lvlJc w:val="left"/>
      <w:pPr>
        <w:ind w:hanging="480" w:left="1440"/>
      </w:pPr>
    </w:lvl>
    <w:lvl w:ilvl="2">
      <w:start w:val="3"/>
      <w:numFmt w:val="lowerRoman"/>
      <w:lvlText w:val="(%3)"/>
      <w:lvlJc w:val="left"/>
      <w:pPr>
        <w:ind w:hanging="480" w:left="2160"/>
      </w:pPr>
    </w:lvl>
    <w:lvl w:ilvl="3">
      <w:start w:val="3"/>
      <w:numFmt w:val="lowerRoman"/>
      <w:lvlText w:val="(%4)"/>
      <w:lvlJc w:val="left"/>
      <w:pPr>
        <w:ind w:hanging="480" w:left="2880"/>
      </w:pPr>
    </w:lvl>
    <w:lvl w:ilvl="4">
      <w:start w:val="3"/>
      <w:numFmt w:val="lowerRoman"/>
      <w:lvlText w:val="(%5)"/>
      <w:lvlJc w:val="left"/>
      <w:pPr>
        <w:ind w:hanging="480" w:left="3600"/>
      </w:pPr>
    </w:lvl>
    <w:lvl w:ilvl="5">
      <w:start w:val="3"/>
      <w:numFmt w:val="lowerRoman"/>
      <w:lvlText w:val="(%6)"/>
      <w:lvlJc w:val="left"/>
      <w:pPr>
        <w:ind w:hanging="480" w:left="4320"/>
      </w:pPr>
    </w:lvl>
    <w:lvl w:ilvl="6">
      <w:start w:val="3"/>
      <w:numFmt w:val="lowerRoman"/>
      <w:lvlText w:val="(%7)"/>
      <w:lvlJc w:val="left"/>
      <w:pPr>
        <w:ind w:hanging="480" w:left="5040"/>
      </w:pPr>
    </w:lvl>
    <w:lvl w:ilvl="7">
      <w:start w:val="3"/>
      <w:numFmt w:val="lowerRoman"/>
      <w:lvlText w:val="(%8)"/>
      <w:lvlJc w:val="left"/>
      <w:pPr>
        <w:ind w:hanging="480" w:left="5760"/>
      </w:pPr>
    </w:lvl>
    <w:lvl w:ilvl="8">
      <w:start w:val="3"/>
      <w:numFmt w:val="lowerRoman"/>
      <w:lvlText w:val="(%9)"/>
      <w:lvlJc w:val="left"/>
      <w:pPr>
        <w:ind w:hanging="480" w:left="6480"/>
      </w:pPr>
    </w:lvl>
  </w:abstractNum>
  <w:abstractNum w15:restartNumberingAfterBreak="0" w:abstractNumId="8">
    <w:nsid w:val="5F7854A7"/>
    <w:multiLevelType w:val="hybridMultilevel"/>
    <w:tmpl w:val="8722C458"/>
    <w:lvl w:ilvl="0" w:tplc="69B84A8C">
      <w:start w:val="1"/>
      <w:numFmt w:val="decimal"/>
      <w:lvlText w:val="%1."/>
      <w:lvlJc w:val="left"/>
      <w:pPr>
        <w:ind w:hanging="360" w:left="720"/>
      </w:pPr>
    </w:lvl>
    <w:lvl w:ilvl="1" w:tplc="D8EA02B6">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1142292" w:numId="1">
    <w:abstractNumId w:val="4"/>
  </w:num>
  <w:num w16cid:durableId="181630154" w:numId="2">
    <w:abstractNumId w:val="6"/>
  </w:num>
  <w:num w16cid:durableId="212666634" w:numId="3">
    <w:abstractNumId w:val="5"/>
  </w:num>
  <w:num w16cid:durableId="401173255" w:numId="4">
    <w:abstractNumId w:val="7"/>
  </w:num>
  <w:num w16cid:durableId="1644848143" w:numId="5">
    <w:abstractNumId w:val="8"/>
  </w:num>
  <w:num w16cid:durableId="248387977" w:numId="6">
    <w:abstractNumId w:val="2"/>
  </w:num>
  <w:num w16cid:durableId="992102839" w:numId="7">
    <w:abstractNumId w:val="2"/>
  </w:num>
  <w:num w16cid:durableId="1938901563" w:numId="8">
    <w:abstractNumId w:val="3"/>
  </w:num>
  <w:num w16cid:durableId="1602881694" w:numId="9">
    <w:abstractNumId w:val="3"/>
  </w:num>
  <w:num w16cid:durableId="716587955" w:numId="10">
    <w:abstractNumId w:val="1"/>
  </w:num>
  <w:num w16cid:durableId="1570577942" w:numId="11">
    <w:abstractNumId w:val="0"/>
  </w:num>
  <w:num w16cid:durableId="1306203082" w:numId="12">
    <w:abstractNumId w:val="2"/>
  </w:num>
  <w:num w16cid:durableId="1494488343" w:numId="13">
    <w:abstractNumId w:val="3"/>
  </w:num>
  <w:num w16cid:durableId="943421096" w:numId="14">
    <w:abstractNumId w:val="3"/>
  </w:num>
  <w:num w16cid:durableId="480118448" w:numId="15">
    <w:abstractNumId w:val="3"/>
  </w:num>
  <w:num w16cid:durableId="1466658995" w:numId="16">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1NzQxMTQ0MzS3NLBU0lEKTi0uzszPAykwqgUAhLarWywAAAA="/>
  </w:docVars>
  <w:rsids>
    <w:rsidRoot w:val="00CC366B"/>
    <w:rsid w:val="00014396"/>
    <w:rsid w:val="000E0147"/>
    <w:rsid w:val="002F1816"/>
    <w:rsid w:val="00415EA2"/>
    <w:rsid w:val="004312BA"/>
    <w:rsid w:val="00501EC2"/>
    <w:rsid w:val="007D356F"/>
    <w:rsid w:val="008467C9"/>
    <w:rsid w:val="00892CAC"/>
    <w:rsid w:val="00895209"/>
    <w:rsid w:val="008B68C5"/>
    <w:rsid w:val="00906172"/>
    <w:rsid w:val="00B345FF"/>
    <w:rsid w:val="00C94F64"/>
    <w:rsid w:val="00CC366B"/>
  </w:rsids>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Cambria" w:eastAsia="Cambria" w:hAnsi="Cambria"/>
        <w:sz w:val="24"/>
        <w:szCs w:val="24"/>
        <w:lang w:bidi="ar-SA" w:eastAsia="fr-FR"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1816"/>
    <w:rPr>
      <w:rFonts w:ascii="EB Garamond" w:hAnsi="EB Garamond"/>
    </w:rPr>
  </w:style>
  <w:style w:styleId="Heading1" w:type="paragraph">
    <w:name w:val="heading 1"/>
    <w:basedOn w:val="Normal"/>
    <w:next w:val="BodyText"/>
    <w:uiPriority w:val="9"/>
    <w:qFormat/>
    <w:rsid w:val="00264482"/>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014396"/>
    <w:pPr>
      <w:keepNext/>
      <w:keepLines/>
      <w:spacing w:after="0" w:before="200" w:line="276" w:lineRule="auto"/>
      <w:jc w:val="both"/>
      <w:outlineLvl w:val="1"/>
    </w:pPr>
    <w:rPr>
      <w:rFonts w:cs="EB Garamond" w:eastAsia="EB Garamond"/>
      <w:b/>
      <w:bCs/>
      <w:color w:val="000000"/>
    </w:rPr>
  </w:style>
  <w:style w:styleId="Heading3" w:type="paragraph">
    <w:name w:val="heading 3"/>
    <w:basedOn w:val="Normal"/>
    <w:next w:val="BodyText"/>
    <w:uiPriority w:val="9"/>
    <w:unhideWhenUsed/>
    <w:qFormat/>
    <w:rsid w:val="00014396"/>
    <w:pPr>
      <w:keepNext/>
      <w:keepLines/>
      <w:spacing w:after="0" w:before="200" w:line="276" w:lineRule="auto"/>
      <w:jc w:val="both"/>
      <w:outlineLvl w:val="2"/>
    </w:pPr>
    <w:rPr>
      <w:rFonts w:cs="EB Garamond" w:eastAsia="EB Garamond"/>
      <w:b/>
      <w:bCs/>
      <w:color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semiHidden/>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Normal1" w:type="table">
    <w:name w:val="Table Normal1"/>
    <w:tblPr>
      <w:tblCellMar>
        <w:top w:type="dxa" w:w="0"/>
        <w:left w:type="dxa" w:w="0"/>
        <w:bottom w:type="dxa" w:w="0"/>
        <w:right w:type="dxa" w:w="0"/>
      </w:tblCellMar>
    </w:tblPr>
  </w:style>
  <w:style w:styleId="Title" w:type="paragraph">
    <w:name w:val="Title"/>
    <w:basedOn w:val="Normal"/>
    <w:next w:val="BodyText"/>
    <w:uiPriority w:val="10"/>
    <w:qFormat/>
    <w:rsid w:val="00C174E4"/>
    <w:pPr>
      <w:keepNext/>
      <w:keepLines/>
      <w:spacing w:after="240" w:before="480" w:line="276" w:lineRule="auto"/>
      <w:jc w:val="center"/>
    </w:pPr>
    <w:rPr>
      <w:rFonts w:cs="EB Garamond" w:eastAsia="EB Garamond"/>
      <w:bCs/>
      <w:color w:val="000000"/>
      <w:sz w:val="30"/>
      <w:szCs w:val="30"/>
    </w:rPr>
  </w:style>
  <w:style w:styleId="BodyText" w:type="paragraph">
    <w:name w:val="Body Text"/>
    <w:basedOn w:val="Normal"/>
    <w:qFormat/>
    <w:rsid w:val="001271E7"/>
    <w:pPr>
      <w:pBdr>
        <w:top w:val="nil"/>
        <w:left w:val="nil"/>
        <w:bottom w:val="nil"/>
        <w:right w:val="nil"/>
        <w:between w:val="nil"/>
      </w:pBdr>
      <w:spacing w:after="180" w:before="180" w:line="276" w:lineRule="auto"/>
      <w:jc w:val="both"/>
    </w:pPr>
    <w:rPr>
      <w:rFonts w:cs="EB Garamond" w:eastAsia="EB 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Subtitle" w:type="paragraph">
    <w:name w:val="Subtitle"/>
    <w:basedOn w:val="Title"/>
    <w:next w:val="Normal"/>
    <w:uiPriority w:val="11"/>
    <w:qFormat/>
    <w:rsid w:val="005E2D13"/>
    <w:pPr>
      <w:spacing w:before="120"/>
    </w:pPr>
  </w:style>
  <w:style w:customStyle="1" w:styleId="Author" w:type="paragraph">
    <w:name w:val="Author"/>
    <w:basedOn w:val="Normal"/>
    <w:next w:val="BodyText"/>
    <w:qFormat/>
    <w:rsid w:val="00C174E4"/>
    <w:pPr>
      <w:keepNext/>
      <w:keepLines/>
      <w:pBdr>
        <w:top w:val="nil"/>
        <w:left w:val="nil"/>
        <w:bottom w:val="nil"/>
        <w:right w:val="nil"/>
        <w:between w:val="nil"/>
      </w:pBdr>
      <w:spacing w:line="276" w:lineRule="auto"/>
      <w:jc w:val="center"/>
    </w:pPr>
    <w:rPr>
      <w:rFonts w:cs="EB Garamond" w:eastAsia="EB Garamond"/>
    </w:rPr>
  </w:style>
  <w:style w:styleId="Date" w:type="paragraph">
    <w:name w:val="Date"/>
    <w:next w:val="BodyText"/>
    <w:qFormat/>
    <w:pPr>
      <w:keepNext/>
      <w:keepLines/>
      <w:jc w:val="center"/>
    </w:pPr>
  </w:style>
  <w:style w:customStyle="1" w:styleId="Abstract" w:type="paragraph">
    <w:name w:val="Abstract"/>
    <w:basedOn w:val="Normal"/>
    <w:next w:val="BodyText"/>
    <w:qFormat/>
    <w:rsid w:val="004312BA"/>
    <w:pPr>
      <w:keepNext/>
      <w:keepLines/>
      <w:spacing w:after="300" w:before="300"/>
      <w:jc w:val="both"/>
    </w:pPr>
    <w:rPr>
      <w:szCs w:val="20"/>
    </w:rPr>
  </w:style>
  <w:style w:styleId="Bibliography" w:type="paragraph">
    <w:name w:val="Bibliography"/>
    <w:basedOn w:val="Normal"/>
    <w:qFormat/>
    <w:rsid w:val="008467C9"/>
    <w:rPr>
      <w:color w:themeColor="text1" w:val="000000"/>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312BA"/>
    <w:pPr>
      <w:spacing w:after="120" w:before="12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rsid w:val="005649D7"/>
    <w:pPr>
      <w:spacing w:after="100"/>
      <w:ind w:left="240"/>
    </w:pPr>
  </w:style>
  <w:style w:styleId="TOC3" w:type="paragraph">
    <w:name w:val="toc 3"/>
    <w:basedOn w:val="Normal"/>
    <w:next w:val="Normal"/>
    <w:autoRedefine/>
    <w:uiPriority w:val="39"/>
    <w:rsid w:val="005649D7"/>
    <w:pPr>
      <w:spacing w:after="100"/>
      <w:ind w:left="480"/>
    </w:pPr>
  </w:style>
  <w:style w:styleId="TOC4" w:type="paragraph">
    <w:name w:val="toc 4"/>
    <w:basedOn w:val="Normal"/>
    <w:next w:val="Normal"/>
    <w:autoRedefine/>
    <w:uiPriority w:val="39"/>
    <w:rsid w:val="005649D7"/>
    <w:pPr>
      <w:spacing w:after="100"/>
      <w:ind w:left="720"/>
    </w:pPr>
  </w:style>
  <w:style w:styleId="CommentReference" w:type="character">
    <w:name w:val="annotation reference"/>
    <w:basedOn w:val="DefaultParagraphFont"/>
    <w:rsid w:val="005649D7"/>
    <w:rPr>
      <w:sz w:val="16"/>
      <w:szCs w:val="16"/>
    </w:rPr>
  </w:style>
  <w:style w:styleId="CommentText" w:type="paragraph">
    <w:name w:val="annotation text"/>
    <w:basedOn w:val="Normal"/>
    <w:link w:val="CommentTextChar"/>
    <w:rsid w:val="005649D7"/>
    <w:rPr>
      <w:sz w:val="20"/>
      <w:szCs w:val="20"/>
    </w:rPr>
  </w:style>
  <w:style w:customStyle="1" w:styleId="CommentTextChar" w:type="character">
    <w:name w:val="Comment Text Char"/>
    <w:basedOn w:val="DefaultParagraphFont"/>
    <w:link w:val="CommentText"/>
    <w:rsid w:val="005649D7"/>
    <w:rPr>
      <w:sz w:val="20"/>
      <w:szCs w:val="20"/>
    </w:rPr>
  </w:style>
  <w:style w:styleId="CommentSubject" w:type="paragraph">
    <w:name w:val="annotation subject"/>
    <w:basedOn w:val="CommentText"/>
    <w:next w:val="CommentText"/>
    <w:link w:val="CommentSubjectChar"/>
    <w:rsid w:val="005649D7"/>
    <w:rPr>
      <w:b/>
      <w:bCs/>
    </w:rPr>
  </w:style>
  <w:style w:customStyle="1" w:styleId="CommentSubjectChar" w:type="character">
    <w:name w:val="Comment Subject Char"/>
    <w:basedOn w:val="CommentTextChar"/>
    <w:link w:val="CommentSubject"/>
    <w:rsid w:val="005649D7"/>
    <w:rPr>
      <w:b/>
      <w:bCs/>
      <w:sz w:val="20"/>
      <w:szCs w:val="20"/>
    </w:rPr>
  </w:style>
  <w:style w:styleId="Header" w:type="paragraph">
    <w:name w:val="header"/>
    <w:basedOn w:val="Normal"/>
    <w:link w:val="HeaderChar"/>
    <w:rsid w:val="009175CA"/>
    <w:pPr>
      <w:tabs>
        <w:tab w:pos="4703" w:val="center"/>
        <w:tab w:pos="9406" w:val="right"/>
      </w:tabs>
      <w:spacing w:after="0"/>
    </w:pPr>
  </w:style>
  <w:style w:customStyle="1" w:styleId="HeaderChar" w:type="character">
    <w:name w:val="Header Char"/>
    <w:basedOn w:val="DefaultParagraphFont"/>
    <w:link w:val="Header"/>
    <w:rsid w:val="009175CA"/>
  </w:style>
  <w:style w:styleId="Footer" w:type="paragraph">
    <w:name w:val="footer"/>
    <w:basedOn w:val="Normal"/>
    <w:link w:val="FooterChar"/>
    <w:uiPriority w:val="99"/>
    <w:rsid w:val="009175CA"/>
    <w:pPr>
      <w:tabs>
        <w:tab w:pos="4703" w:val="center"/>
        <w:tab w:pos="9406" w:val="right"/>
      </w:tabs>
      <w:spacing w:after="0"/>
    </w:pPr>
  </w:style>
  <w:style w:customStyle="1" w:styleId="FooterChar" w:type="character">
    <w:name w:val="Footer Char"/>
    <w:basedOn w:val="DefaultParagraphFont"/>
    <w:link w:val="Footer"/>
    <w:uiPriority w:val="99"/>
    <w:rsid w:val="009175CA"/>
  </w:style>
  <w:style w:customStyle="1" w:styleId="2" w:type="table">
    <w:name w:val="2"/>
    <w:basedOn w:val="TableNormal"/>
    <w:tblPr>
      <w:tblStyleRowBandSize w:val="1"/>
      <w:tblStyleColBandSize w:val="1"/>
    </w:tblPr>
    <w:tblStylePr w:type="firstRow">
      <w:tblPr/>
      <w:tcPr>
        <w:tcBorders>
          <w:bottom w:val="nil"/>
        </w:tcBorders>
        <w:vAlign w:val="bottom"/>
      </w:tcPr>
    </w:tblStylePr>
  </w:style>
  <w:style w:customStyle="1" w:styleId="1" w:type="table">
    <w:name w:val="1"/>
    <w:basedOn w:val="TableNormal"/>
    <w:tblPr>
      <w:tblStyleRowBandSize w:val="1"/>
      <w:tblStyleColBandSize w:val="1"/>
    </w:tblPr>
    <w:tblStylePr w:type="firstRow">
      <w:tblPr/>
      <w:tcPr>
        <w:tcBorders>
          <w:bottom w:val="nil"/>
        </w:tcBorders>
        <w:vAlign w:val="bottom"/>
      </w:tcPr>
    </w:tblStylePr>
  </w:style>
  <w:style w:styleId="ListBullet" w:type="paragraph">
    <w:name w:val="List Bullet"/>
    <w:basedOn w:val="Normal"/>
    <w:uiPriority w:val="99"/>
    <w:unhideWhenUsed/>
    <w:rsid w:val="00FF6F0F"/>
    <w:pPr>
      <w:numPr>
        <w:numId w:val="10"/>
      </w:numPr>
      <w:contextualSpacing/>
    </w:pPr>
  </w:style>
  <w:style w:styleId="ListBullet2" w:type="paragraph">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93" Target="media/rId93.png" /><Relationship Type="http://schemas.openxmlformats.org/officeDocument/2006/relationships/image" Id="rId89" Target="media/rId89.png" /><Relationship Type="http://schemas.openxmlformats.org/officeDocument/2006/relationships/image" Id="rId85" Target="media/rId8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12976</Words>
  <Characters>74515</Characters>
  <Application>Microsoft Office Word</Application>
  <DocSecurity>0</DocSecurity>
  <Lines>2527</Lines>
  <Paragraphs>1395</Paragraphs>
  <ScaleCrop>false</ScaleCrop>
  <HeadingPairs>
    <vt:vector size="2" baseType="variant">
      <vt:variant>
        <vt:lpstr>Titre</vt:lpstr>
      </vt:variant>
      <vt:variant>
        <vt:i4>1</vt:i4>
      </vt:variant>
    </vt:vector>
  </HeadingPairs>
  <TitlesOfParts>
    <vt:vector size="1" baseType="lpstr">
      <vt:lpstr>Investigating how administrative burden and search costs affect social inequalities in early childcare access, a randomised controlled trial</vt:lpstr>
    </vt:vector>
  </TitlesOfParts>
  <Company/>
  <LinksUpToDate>false</LinksUpToDate>
  <CharactersWithSpaces>86275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Analysis_Laudine_R&amp;R</dc:title>
  <dc:creator>Laudine Carbuccia</dc:creator>
  <cp:keywords/>
  <dcterms:created xsi:type="dcterms:W3CDTF">2025-01-30T14:00:36Z</dcterms:created>
  <dcterms:modified xsi:type="dcterms:W3CDTF">2025-01-30T14:00:36Z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2025-01-20</vt:lpwstr>
  </property>
  <property fmtid="{D5CDD505-2E9C-101B-9397-08002B2CF9AE}" pid="4" name="language">
    <vt:lpwstr/>
  </property>
  <property fmtid="{D5CDD505-2E9C-101B-9397-08002B2CF9AE}" pid="5" name="output">
    <vt:lpwstr/>
  </property>
</Properties>
</file>