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Power</w:t>
      </w:r>
      <w:r>
        <w:t xml:space="preserve"> </w:t>
      </w:r>
      <w:r>
        <w:t xml:space="preserve">computations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Heim</w:t>
      </w:r>
    </w:p>
    <w:p>
      <w:pPr>
        <w:pStyle w:val="Date"/>
      </w:pPr>
      <w:r>
        <w:t xml:space="preserve">2025-01-20</w:t>
      </w:r>
    </w:p>
    <w:bookmarkStart w:id="20" w:name="hypothesis-and-simple-formul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Hypothesis and simple formula</w:t>
      </w:r>
    </w:p>
    <w:p>
      <w:pPr>
        <w:pStyle w:val="FirstParagraph"/>
      </w:pPr>
      <w:r>
        <w:t xml:space="preserve">(Asymptotically Normal Estimator) We assume that the estimator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</m:oMath>
      <w:r>
        <w:t xml:space="preserve"> </w:t>
      </w:r>
      <w:r>
        <w:t xml:space="preserve">is such that there exists a constant (independent of</w:t>
      </w:r>
      <w:r>
        <w:t xml:space="preserve"> </w:t>
      </w:r>
      <m:oMath>
        <m:r>
          <m:t>N</m:t>
        </m:r>
        <m:r>
          <m:rPr>
            <m:sty m:val="p"/>
          </m:rPr>
          <m:t>)</m:t>
        </m:r>
        <m:r>
          <m:t>C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</m:d>
      </m:oMath>
      <w:r>
        <w:t xml:space="preserve"> </w:t>
      </w:r>
      <w:r>
        <w:t xml:space="preserve">such that: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E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rPr>
                          <m:sty m:val="b"/>
                        </m:rPr>
                        <m:t>V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</m:e>
                      </m:d>
                    </m:e>
                  </m:rad>
                </m:den>
              </m:f>
              <m:r>
                <m:rPr>
                  <m:sty m:val="p"/>
                </m:rPr>
                <m:t>≤</m:t>
              </m:r>
              <m:r>
                <m:t>u</m:t>
              </m:r>
            </m:e>
          </m:d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b"/>
          </m:rPr>
          <m:t>V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d>
              <m:dPr>
                <m:begChr m:val="("/>
                <m:endChr m:val=")"/>
                <m:sepChr m:val=""/>
                <m:grow/>
              </m:dPr>
              <m:e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</m:e>
            </m:d>
          </m:num>
          <m:den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 closed-form formula for power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is :</w:t>
      </w:r>
    </w:p>
    <w:p>
      <w:pPr>
        <w:pStyle w:val="BodyText"/>
      </w:pPr>
      <w:r>
        <w:t xml:space="preserve">(Power with an Asymptotically Normal Estimator) With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</m:oMath>
      <w:r>
        <w:t xml:space="preserve"> </w:t>
      </w:r>
      <w:r>
        <w:t xml:space="preserve">asymptotically normal, and with</w:t>
      </w:r>
      <w:r>
        <w:t xml:space="preserve"> </w:t>
      </w:r>
      <m:oMath>
        <m:sSub>
          <m:e>
            <m:r>
              <m:t>β</m:t>
            </m:r>
          </m:e>
          <m:sub>
            <m:r>
              <m:t>A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 we have:</w:t>
      </w:r>
    </w:p>
    <w:p>
      <w:pPr>
        <w:numPr>
          <w:ilvl w:val="0"/>
          <w:numId w:val="1001"/>
        </w:numPr>
        <w:pStyle w:val="Compact"/>
      </w:pPr>
      <w:r>
        <w:t xml:space="preserve">For a One-Sided Test: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E</m:t>
        </m:r>
        <m:r>
          <m:rPr>
            <m:sty m:val="p"/>
          </m:rPr>
          <m:t>≤</m:t>
        </m:r>
        <m:r>
          <m:t>0</m:t>
        </m:r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E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A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κ</m:t>
              </m:r>
            </m:e>
            <m:sub>
              <m:r>
                <m:rPr>
                  <m:nor/>
                  <m:sty m:val="p"/>
                </m:rPr>
                <m:t>oneside </m:t>
              </m:r>
            </m:sub>
          </m:sSub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A</m:t>
                      </m:r>
                    </m:sub>
                  </m:sSub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rPr>
                          <m:sty m:val="b"/>
                        </m:rPr>
                        <m:t>V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</m:e>
                      </m:d>
                    </m:e>
                  </m:rad>
                </m:den>
              </m:f>
              <m:r>
                <m:rPr>
                  <m:sty m:val="p"/>
                </m:rPr>
                <m:t>−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e>
              </m:d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For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Tyo-Sided Test: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E</m:t>
        </m:r>
        <m:r>
          <m:rPr>
            <m:sty m:val="p"/>
          </m:rPr>
          <m:t>=</m:t>
        </m:r>
        <m:r>
          <m:t>0</m:t>
        </m:r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E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κ</m:t>
              </m:r>
            </m:e>
            <m:sub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w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e</m:t>
              </m:r>
            </m:sub>
          </m:sSub>
          <m:r>
            <m:rPr>
              <m:sty m:val="p"/>
            </m:rPr>
            <m:t>≈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A</m:t>
                      </m:r>
                    </m:sub>
                  </m:sSub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rPr>
                          <m:sty m:val="b"/>
                        </m:rPr>
                        <m:t>V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</m:e>
                      </m:d>
                    </m:e>
                  </m:rad>
                </m:den>
              </m:f>
              <m:r>
                <m:rPr>
                  <m:sty m:val="p"/>
                </m:rPr>
                <m:t>−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</m:d>
        </m:oMath>
      </m:oMathPara>
    </w:p>
    <w:bookmarkEnd w:id="20"/>
    <w:sectPr w:rsidR="00895209" w:rsidRPr="00014396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17" w:footer="720" w:gutter="0" w:header="720" w:left="1417" w:right="1417" w:top="1417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81087" w14:textId="77777777" w:rsidR="00501EC2" w:rsidRDefault="00501E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B64AE" w14:textId="77777777" w:rsidR="00501EC2" w:rsidRDefault="00501EC2">
    <w:pPr>
      <w:tabs>
        <w:tab w:val="center" w:pos="4703"/>
        <w:tab w:val="right" w:pos="9406"/>
      </w:tabs>
      <w:spacing w:before="180" w:after="180"/>
      <w:jc w:val="both"/>
      <w:rPr>
        <w:rFonts w:eastAsia="EB Garamond" w:cs="EB Garamond"/>
      </w:rPr>
    </w:pPr>
  </w:p>
  <w:p w14:paraId="03B2372A" w14:textId="77777777" w:rsidR="00501EC2" w:rsidRDefault="00000000" w:rsidP="00E761A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66FAF277" w14:textId="77777777" w:rsidR="00501EC2" w:rsidRDefault="00501E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33A63" w14:textId="77777777" w:rsidR="00501EC2" w:rsidRDefault="00501E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/>
      <w:rPr>
        <w:color w:val="000000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254CF" w14:textId="77777777" w:rsidR="00501EC2" w:rsidRDefault="00501E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AF64A" w14:textId="77777777" w:rsidR="00501EC2" w:rsidRDefault="00501E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84E17" w14:textId="77777777" w:rsidR="00501EC2" w:rsidRDefault="00501E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/>
      <w:rPr>
        <w:color w:val="000000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83"/>
    <w:multiLevelType w:val="singleLevel"/>
    <w:tmpl w:val="9DD8E27C"/>
    <w:lvl w:ilvl="0">
      <w:start w:val="1"/>
      <w:numFmt w:val="bullet"/>
      <w:pStyle w:val="ListBullet2"/>
      <w:lvlText w:val="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">
    <w:nsid w:val="FFFFFF89"/>
    <w:multiLevelType w:val="singleLevel"/>
    <w:tmpl w:val="FF6452F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">
    <w:nsid w:val="0000A990"/>
    <w:multiLevelType w:val="multilevel"/>
    <w:tmpl w:val="1AF6A5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3">
    <w:nsid w:val="0000A991"/>
    <w:multiLevelType w:val="multilevel"/>
    <w:tmpl w:val="DFAE929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4">
    <w:nsid w:val="33592A9D"/>
    <w:multiLevelType w:val="multilevel"/>
    <w:tmpl w:val="1F12620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5">
    <w:nsid w:val="431950B2"/>
    <w:multiLevelType w:val="multilevel"/>
    <w:tmpl w:val="25744F7C"/>
    <w:lvl w:ilvl="0">
      <w:start w:val="1"/>
      <w:numFmt w:val="lowerRoman"/>
      <w:lvlText w:val="(%1)"/>
      <w:lvlJc w:val="left"/>
      <w:pPr>
        <w:ind w:hanging="480" w:left="720"/>
      </w:pPr>
    </w:lvl>
    <w:lvl w:ilvl="1">
      <w:start w:val="1"/>
      <w:numFmt w:val="lowerRoman"/>
      <w:lvlText w:val="(%2)"/>
      <w:lvlJc w:val="left"/>
      <w:pPr>
        <w:ind w:hanging="480" w:left="1440"/>
      </w:pPr>
    </w:lvl>
    <w:lvl w:ilvl="2">
      <w:start w:val="1"/>
      <w:numFmt w:val="lowerRoman"/>
      <w:lvlText w:val="(%3)"/>
      <w:lvlJc w:val="left"/>
      <w:pPr>
        <w:ind w:hanging="480" w:left="2160"/>
      </w:pPr>
    </w:lvl>
    <w:lvl w:ilvl="3">
      <w:start w:val="1"/>
      <w:numFmt w:val="lowerRoman"/>
      <w:lvlText w:val="(%4)"/>
      <w:lvlJc w:val="left"/>
      <w:pPr>
        <w:ind w:hanging="480" w:left="2880"/>
      </w:pPr>
    </w:lvl>
    <w:lvl w:ilvl="4">
      <w:start w:val="1"/>
      <w:numFmt w:val="lowerRoman"/>
      <w:lvlText w:val="(%5)"/>
      <w:lvlJc w:val="left"/>
      <w:pPr>
        <w:ind w:hanging="480" w:left="3600"/>
      </w:pPr>
    </w:lvl>
    <w:lvl w:ilvl="5">
      <w:start w:val="1"/>
      <w:numFmt w:val="lowerRoman"/>
      <w:lvlText w:val="(%6)"/>
      <w:lvlJc w:val="left"/>
      <w:pPr>
        <w:ind w:hanging="480" w:left="4320"/>
      </w:pPr>
    </w:lvl>
    <w:lvl w:ilvl="6">
      <w:start w:val="1"/>
      <w:numFmt w:val="lowerRoman"/>
      <w:lvlText w:val="(%7)"/>
      <w:lvlJc w:val="left"/>
      <w:pPr>
        <w:ind w:hanging="480" w:left="5040"/>
      </w:pPr>
    </w:lvl>
    <w:lvl w:ilvl="7">
      <w:start w:val="1"/>
      <w:numFmt w:val="lowerRoman"/>
      <w:lvlText w:val="(%8)"/>
      <w:lvlJc w:val="left"/>
      <w:pPr>
        <w:ind w:hanging="480" w:left="5760"/>
      </w:pPr>
    </w:lvl>
    <w:lvl w:ilvl="8">
      <w:start w:val="1"/>
      <w:numFmt w:val="lowerRoman"/>
      <w:lvlText w:val="(%9)"/>
      <w:lvlJc w:val="left"/>
      <w:pPr>
        <w:ind w:hanging="480" w:left="6480"/>
      </w:pPr>
    </w:lvl>
  </w:abstractNum>
  <w:abstractNum w15:restartNumberingAfterBreak="0" w:abstractNumId="6">
    <w:nsid w:val="47B0686A"/>
    <w:multiLevelType w:val="multilevel"/>
    <w:tmpl w:val="E47CE4A0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7">
    <w:nsid w:val="48E95C7F"/>
    <w:multiLevelType w:val="multilevel"/>
    <w:tmpl w:val="9746DABA"/>
    <w:lvl w:ilvl="0">
      <w:start w:val="3"/>
      <w:numFmt w:val="lowerRoman"/>
      <w:lvlText w:val="(%1)"/>
      <w:lvlJc w:val="left"/>
      <w:pPr>
        <w:ind w:hanging="480" w:left="720"/>
      </w:pPr>
    </w:lvl>
    <w:lvl w:ilvl="1">
      <w:start w:val="3"/>
      <w:numFmt w:val="lowerRoman"/>
      <w:lvlText w:val="(%2)"/>
      <w:lvlJc w:val="left"/>
      <w:pPr>
        <w:ind w:hanging="480" w:left="1440"/>
      </w:pPr>
    </w:lvl>
    <w:lvl w:ilvl="2">
      <w:start w:val="3"/>
      <w:numFmt w:val="lowerRoman"/>
      <w:lvlText w:val="(%3)"/>
      <w:lvlJc w:val="left"/>
      <w:pPr>
        <w:ind w:hanging="480" w:left="2160"/>
      </w:pPr>
    </w:lvl>
    <w:lvl w:ilvl="3">
      <w:start w:val="3"/>
      <w:numFmt w:val="lowerRoman"/>
      <w:lvlText w:val="(%4)"/>
      <w:lvlJc w:val="left"/>
      <w:pPr>
        <w:ind w:hanging="480" w:left="2880"/>
      </w:pPr>
    </w:lvl>
    <w:lvl w:ilvl="4">
      <w:start w:val="3"/>
      <w:numFmt w:val="lowerRoman"/>
      <w:lvlText w:val="(%5)"/>
      <w:lvlJc w:val="left"/>
      <w:pPr>
        <w:ind w:hanging="480" w:left="3600"/>
      </w:pPr>
    </w:lvl>
    <w:lvl w:ilvl="5">
      <w:start w:val="3"/>
      <w:numFmt w:val="lowerRoman"/>
      <w:lvlText w:val="(%6)"/>
      <w:lvlJc w:val="left"/>
      <w:pPr>
        <w:ind w:hanging="480" w:left="4320"/>
      </w:pPr>
    </w:lvl>
    <w:lvl w:ilvl="6">
      <w:start w:val="3"/>
      <w:numFmt w:val="lowerRoman"/>
      <w:lvlText w:val="(%7)"/>
      <w:lvlJc w:val="left"/>
      <w:pPr>
        <w:ind w:hanging="480" w:left="5040"/>
      </w:pPr>
    </w:lvl>
    <w:lvl w:ilvl="7">
      <w:start w:val="3"/>
      <w:numFmt w:val="lowerRoman"/>
      <w:lvlText w:val="(%8)"/>
      <w:lvlJc w:val="left"/>
      <w:pPr>
        <w:ind w:hanging="480" w:left="5760"/>
      </w:pPr>
    </w:lvl>
    <w:lvl w:ilvl="8">
      <w:start w:val="3"/>
      <w:numFmt w:val="lowerRoman"/>
      <w:lvlText w:val="(%9)"/>
      <w:lvlJc w:val="left"/>
      <w:pPr>
        <w:ind w:hanging="480" w:left="6480"/>
      </w:pPr>
    </w:lvl>
  </w:abstractNum>
  <w:abstractNum w15:restartNumberingAfterBreak="0" w:abstractNumId="8">
    <w:nsid w:val="5F7854A7"/>
    <w:multiLevelType w:val="hybridMultilevel"/>
    <w:tmpl w:val="8722C458"/>
    <w:lvl w:ilvl="0" w:tplc="69B84A8C">
      <w:start w:val="1"/>
      <w:numFmt w:val="decimal"/>
      <w:lvlText w:val="%1."/>
      <w:lvlJc w:val="left"/>
      <w:pPr>
        <w:ind w:hanging="360" w:left="720"/>
      </w:pPr>
    </w:lvl>
    <w:lvl w:ilvl="1" w:tplc="D8EA02B6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71142292" w:numId="1">
    <w:abstractNumId w:val="4"/>
  </w:num>
  <w:num w16cid:durableId="181630154" w:numId="2">
    <w:abstractNumId w:val="6"/>
  </w:num>
  <w:num w16cid:durableId="212666634" w:numId="3">
    <w:abstractNumId w:val="5"/>
  </w:num>
  <w:num w16cid:durableId="401173255" w:numId="4">
    <w:abstractNumId w:val="7"/>
  </w:num>
  <w:num w16cid:durableId="1644848143" w:numId="5">
    <w:abstractNumId w:val="8"/>
  </w:num>
  <w:num w16cid:durableId="248387977" w:numId="6">
    <w:abstractNumId w:val="2"/>
  </w:num>
  <w:num w16cid:durableId="992102839" w:numId="7">
    <w:abstractNumId w:val="2"/>
  </w:num>
  <w:num w16cid:durableId="1938901563" w:numId="8">
    <w:abstractNumId w:val="3"/>
  </w:num>
  <w:num w16cid:durableId="1602881694" w:numId="9">
    <w:abstractNumId w:val="3"/>
  </w:num>
  <w:num w16cid:durableId="716587955" w:numId="10">
    <w:abstractNumId w:val="1"/>
  </w:num>
  <w:num w16cid:durableId="1570577942" w:numId="11">
    <w:abstractNumId w:val="0"/>
  </w:num>
  <w:num w16cid:durableId="1306203082" w:numId="12">
    <w:abstractNumId w:val="2"/>
  </w:num>
  <w:num w16cid:durableId="1494488343" w:numId="13">
    <w:abstractNumId w:val="3"/>
  </w:num>
  <w:num w16cid:durableId="943421096" w:numId="14">
    <w:abstractNumId w:val="3"/>
  </w:num>
  <w:num w16cid:durableId="480118448" w:numId="15">
    <w:abstractNumId w:val="3"/>
  </w:num>
  <w:num w16cid:durableId="1466658995" w:numId="16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Cambria" w:eastAsia="Cambria" w:hAnsi="Cambria"/>
        <w:sz w:val="24"/>
        <w:szCs w:val="24"/>
        <w:lang w:bidi="ar-SA" w:eastAsia="fr-FR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F1816"/>
    <w:rPr>
      <w:rFonts w:ascii="EB Garamond" w:hAnsi="EB Garamond"/>
    </w:rPr>
  </w:style>
  <w:style w:styleId="Heading1" w:type="paragraph">
    <w:name w:val="heading 1"/>
    <w:basedOn w:val="Normal"/>
    <w:next w:val="BodyText"/>
    <w:uiPriority w:val="9"/>
    <w:qFormat/>
    <w:rsid w:val="00264482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14396"/>
    <w:pPr>
      <w:keepNext/>
      <w:keepLines/>
      <w:spacing w:after="0" w:before="200" w:line="276" w:lineRule="auto"/>
      <w:jc w:val="both"/>
      <w:outlineLvl w:val="1"/>
    </w:pPr>
    <w:rPr>
      <w:rFonts w:cs="EB Garamond" w:eastAsia="EB Garamond"/>
      <w:b/>
      <w:bCs/>
      <w:color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014396"/>
    <w:pPr>
      <w:keepNext/>
      <w:keepLines/>
      <w:spacing w:after="0" w:before="200" w:line="276" w:lineRule="auto"/>
      <w:jc w:val="both"/>
      <w:outlineLvl w:val="2"/>
    </w:pPr>
    <w:rPr>
      <w:rFonts w:cs="EB Garamond" w:eastAsia="EB Garamond"/>
      <w:b/>
      <w:bCs/>
      <w:color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semiHidden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TableNormal1" w:type="table">
    <w:name w:val="Table Normal1"/>
    <w:tblPr>
      <w:tblCellMar>
        <w:top w:type="dxa" w:w="0"/>
        <w:left w:type="dxa" w:w="0"/>
        <w:bottom w:type="dxa" w:w="0"/>
        <w:right w:type="dxa" w:w="0"/>
      </w:tblCellMar>
    </w:tblPr>
  </w:style>
  <w:style w:styleId="Title" w:type="paragraph">
    <w:name w:val="Title"/>
    <w:basedOn w:val="Normal"/>
    <w:next w:val="BodyText"/>
    <w:uiPriority w:val="10"/>
    <w:qFormat/>
    <w:rsid w:val="00C174E4"/>
    <w:pPr>
      <w:keepNext/>
      <w:keepLines/>
      <w:spacing w:after="240" w:before="480" w:line="276" w:lineRule="auto"/>
      <w:jc w:val="center"/>
    </w:pPr>
    <w:rPr>
      <w:rFonts w:cs="EB Garamond" w:eastAsia="EB Garamond"/>
      <w:bCs/>
      <w:color w:val="000000"/>
      <w:sz w:val="30"/>
      <w:szCs w:val="30"/>
    </w:rPr>
  </w:style>
  <w:style w:styleId="BodyText" w:type="paragraph">
    <w:name w:val="Body Text"/>
    <w:basedOn w:val="Normal"/>
    <w:qFormat/>
    <w:rsid w:val="001271E7"/>
    <w:pPr>
      <w:pBdr>
        <w:top w:val="nil"/>
        <w:left w:val="nil"/>
        <w:bottom w:val="nil"/>
        <w:right w:val="nil"/>
        <w:between w:val="nil"/>
      </w:pBdr>
      <w:spacing w:after="180" w:before="180" w:line="276" w:lineRule="auto"/>
      <w:jc w:val="both"/>
    </w:pPr>
    <w:rPr>
      <w:rFonts w:cs="EB Garamond" w:eastAsia="EB Garamond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Subtitle" w:type="paragraph">
    <w:name w:val="Subtitle"/>
    <w:basedOn w:val="Title"/>
    <w:next w:val="Normal"/>
    <w:uiPriority w:val="11"/>
    <w:qFormat/>
    <w:rsid w:val="005E2D13"/>
    <w:pPr>
      <w:spacing w:before="120"/>
    </w:pPr>
  </w:style>
  <w:style w:customStyle="1" w:styleId="Author" w:type="paragraph">
    <w:name w:val="Author"/>
    <w:basedOn w:val="Normal"/>
    <w:next w:val="BodyText"/>
    <w:qFormat/>
    <w:rsid w:val="00C174E4"/>
    <w:pPr>
      <w:keepNext/>
      <w:keepLines/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rFonts w:cs="EB Garamond" w:eastAsia="EB Garamond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4312BA"/>
    <w:pPr>
      <w:keepNext/>
      <w:keepLines/>
      <w:spacing w:after="300" w:before="300"/>
      <w:jc w:val="both"/>
    </w:pPr>
    <w:rPr>
      <w:szCs w:val="20"/>
    </w:rPr>
  </w:style>
  <w:style w:styleId="Bibliography" w:type="paragraph">
    <w:name w:val="Bibliography"/>
    <w:basedOn w:val="Normal"/>
    <w:qFormat/>
    <w:rsid w:val="008467C9"/>
    <w:rPr>
      <w:color w:themeColor="text1" w:val="000000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4312BA"/>
    <w:pPr>
      <w:spacing w:after="120" w:before="12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2" w:type="paragraph">
    <w:name w:val="toc 2"/>
    <w:basedOn w:val="Normal"/>
    <w:next w:val="Normal"/>
    <w:autoRedefine/>
    <w:uiPriority w:val="39"/>
    <w:rsid w:val="005649D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5649D7"/>
    <w:pPr>
      <w:spacing w:after="100"/>
      <w:ind w:left="480"/>
    </w:pPr>
  </w:style>
  <w:style w:styleId="TOC4" w:type="paragraph">
    <w:name w:val="toc 4"/>
    <w:basedOn w:val="Normal"/>
    <w:next w:val="Normal"/>
    <w:autoRedefine/>
    <w:uiPriority w:val="39"/>
    <w:rsid w:val="005649D7"/>
    <w:pPr>
      <w:spacing w:after="100"/>
      <w:ind w:left="720"/>
    </w:pPr>
  </w:style>
  <w:style w:styleId="CommentReference" w:type="character">
    <w:name w:val="annotation reference"/>
    <w:basedOn w:val="DefaultParagraphFont"/>
    <w:rsid w:val="005649D7"/>
    <w:rPr>
      <w:sz w:val="16"/>
      <w:szCs w:val="16"/>
    </w:rPr>
  </w:style>
  <w:style w:styleId="CommentText" w:type="paragraph">
    <w:name w:val="annotation text"/>
    <w:basedOn w:val="Normal"/>
    <w:link w:val="CommentTextChar"/>
    <w:rsid w:val="005649D7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rsid w:val="005649D7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rsid w:val="005649D7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5649D7"/>
    <w:rPr>
      <w:b/>
      <w:bCs/>
      <w:sz w:val="20"/>
      <w:szCs w:val="20"/>
    </w:rPr>
  </w:style>
  <w:style w:styleId="Header" w:type="paragraph">
    <w:name w:val="header"/>
    <w:basedOn w:val="Normal"/>
    <w:link w:val="HeaderChar"/>
    <w:rsid w:val="009175CA"/>
    <w:pPr>
      <w:tabs>
        <w:tab w:pos="4703" w:val="center"/>
        <w:tab w:pos="94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175CA"/>
  </w:style>
  <w:style w:styleId="Footer" w:type="paragraph">
    <w:name w:val="footer"/>
    <w:basedOn w:val="Normal"/>
    <w:link w:val="FooterChar"/>
    <w:uiPriority w:val="99"/>
    <w:rsid w:val="009175CA"/>
    <w:pPr>
      <w:tabs>
        <w:tab w:pos="4703" w:val="center"/>
        <w:tab w:pos="94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175CA"/>
  </w:style>
  <w:style w:customStyle="1" w:styleId="2" w:type="table">
    <w:name w:val="2"/>
    <w:basedOn w:val="TableNormal"/>
    <w:tblPr>
      <w:tblStyleRowBandSize w:val="1"/>
      <w:tblStyleColBandSize w:val="1"/>
    </w:tblPr>
    <w:tblStylePr w:type="firstRow">
      <w:tblPr/>
      <w:tcPr>
        <w:tcBorders>
          <w:bottom w:val="nil"/>
        </w:tcBorders>
        <w:vAlign w:val="bottom"/>
      </w:tcPr>
    </w:tblStylePr>
  </w:style>
  <w:style w:customStyle="1" w:styleId="1" w:type="table">
    <w:name w:val="1"/>
    <w:basedOn w:val="TableNormal"/>
    <w:tblPr>
      <w:tblStyleRowBandSize w:val="1"/>
      <w:tblStyleColBandSize w:val="1"/>
    </w:tblPr>
    <w:tblStylePr w:type="firstRow">
      <w:tblPr/>
      <w:tcPr>
        <w:tcBorders>
          <w:bottom w:val="nil"/>
        </w:tcBorders>
        <w:vAlign w:val="bottom"/>
      </w:tcPr>
    </w:tblStylePr>
  </w:style>
  <w:style w:styleId="ListBullet" w:type="paragraph">
    <w:name w:val="List Bullet"/>
    <w:basedOn w:val="Normal"/>
    <w:uiPriority w:val="99"/>
    <w:unhideWhenUsed/>
    <w:rsid w:val="00FF6F0F"/>
    <w:pPr>
      <w:numPr>
        <w:numId w:val="10"/>
      </w:numPr>
      <w:contextualSpacing/>
    </w:pPr>
  </w:style>
  <w:style w:styleId="ListBullet2" w:type="paragraph">
    <w:name w:val="List Bullet 2"/>
    <w:basedOn w:val="Normal"/>
    <w:uiPriority w:val="99"/>
    <w:unhideWhenUsed/>
    <w:rsid w:val="00FF6F0F"/>
    <w:pPr>
      <w:numPr>
        <w:numId w:val="11"/>
      </w:numPr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47</Pages>
  <Words>12976</Words>
  <Characters>74515</Characters>
  <Application>Microsoft Office Word</Application>
  <DocSecurity>0</DocSecurity>
  <Lines>2527</Lines>
  <Paragraphs>1395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Investigating how administrative burden and search costs affect social inequalities in early childcare access, a randomised controlled trial</vt:lpstr>
    </vt:vector>
  </TitlesOfParts>
  <Company/>
  <LinksUpToDate>false</LinksUpToDate>
  <CharactersWithSpaces>86275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computations</dc:title>
  <dc:creator>Arthur Heim</dc:creator>
  <cp:keywords/>
  <dcterms:created xsi:type="dcterms:W3CDTF">2025-02-13T18:38:37Z</dcterms:created>
  <dcterms:modified xsi:type="dcterms:W3CDTF">2025-02-13T18:38:37Z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2025-01-20</vt:lpwstr>
  </property>
  <property fmtid="{D5CDD505-2E9C-101B-9397-08002B2CF9AE}" pid="4" name="language">
    <vt:lpwstr/>
  </property>
  <property fmtid="{D5CDD505-2E9C-101B-9397-08002B2CF9AE}" pid="5" name="output">
    <vt:lpwstr/>
  </property>
</Properties>
</file>