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332E86"/>
          <w:sz w:val="40"/>
          <w:szCs w:val="40"/>
        </w:rPr>
        <w:t xml:space="preserve">Mémoire EduLoc</w:t>
      </w:r>
    </w:p>
    <w:p>
      <w:pPr>
        <w:spacing w:after="200"/>
      </w:pPr>
      <w:r>
        <w:rPr>
          <w:rFonts w:ascii="Arial" w:cs="Arial" w:eastAsia="Arial" w:hAnsi="Arial"/>
          <w:color w:val="555566"/>
          <w:sz w:val="26"/>
          <w:szCs w:val="26"/>
        </w:rPr>
        <w:t xml:space="preserve">Vérification de la partie Réalisation, présentation du back-office et contenu des annexes</w:t>
      </w:r>
    </w:p>
    <w:p>
      <w:pPr>
        <w:spacing w:after="120" w:line="288"/>
      </w:pPr>
      <w:r>
        <w:rPr>
          <w:rFonts w:ascii="Arial" w:cs="Arial" w:eastAsia="Arial" w:hAnsi="Arial"/>
          <w:sz w:val="21"/>
          <w:szCs w:val="21"/>
        </w:rPr>
        <w:t xml:space="preserve">Document de travail pour </w:t>
      </w:r>
      <w:r>
        <w:rPr>
          <w:rFonts w:ascii="Arial" w:cs="Arial" w:eastAsia="Arial" w:hAnsi="Arial"/>
          <w:b/>
          <w:bCs/>
          <w:sz w:val="21"/>
          <w:szCs w:val="21"/>
        </w:rPr>
        <w:t xml:space="preserve">Memoire REDACTION edUloc.docx</w:t>
      </w:r>
      <w:r>
        <w:rPr>
          <w:rFonts w:ascii="Arial" w:cs="Arial" w:eastAsia="Arial" w:hAnsi="Arial"/>
          <w:sz w:val="21"/>
          <w:szCs w:val="21"/>
        </w:rPr>
        <w:t xml:space="preserve"> (version du 27 octobre 2026). Aucune modification n’a été faite dans votre mémoire : ce document propose les corrections, le texte à ajouter et le plan des annexes. Les encadrés violets sont du texte prêt à coller.</w:t>
      </w:r>
    </w:p>
    <w:p>
      <w:pPr>
        <w:pStyle w:val="Heading1"/>
        <w:spacing w:after="160" w:before="360"/>
      </w:pPr>
      <w:r>
        <w:rPr>
          <w:rFonts w:ascii="Arial" w:cs="Arial" w:eastAsia="Arial" w:hAnsi="Arial"/>
          <w:b/>
          <w:bCs/>
          <w:color w:val="332E86"/>
          <w:sz w:val="30"/>
          <w:szCs w:val="30"/>
        </w:rPr>
        <w:t xml:space="preserve">1. En bref</w:t>
      </w:r>
    </w:p>
    <w:p>
      <w:pPr>
        <w:pStyle w:val="ListParagraph"/>
        <w:numPr>
          <w:ilvl w:val="0"/>
          <w:numId w:val="2"/>
        </w:numPr>
        <w:spacing w:after="60" w:line="276"/>
      </w:pPr>
      <w:r>
        <w:rPr>
          <w:rFonts w:ascii="Arial" w:cs="Arial" w:eastAsia="Arial" w:hAnsi="Arial"/>
          <w:b/>
          <w:bCs/>
          <w:sz w:val="21"/>
          <w:szCs w:val="21"/>
        </w:rPr>
        <w:t xml:space="preserve">Le back-office n’apparaît nulle part dans la Réalisation. </w:t>
      </w:r>
      <w:r>
        <w:rPr>
          <w:rFonts w:ascii="Arial" w:cs="Arial" w:eastAsia="Arial" w:hAnsi="Arial"/>
          <w:sz w:val="21"/>
          <w:szCs w:val="21"/>
        </w:rPr>
        <w:t xml:space="preserve">Le mémoire décrit trois modes d’utilisation de l’application mobile (demandeur, tuteur, lieu partenaire) et une architecture à un seul client. L’administrateur est pourtant un acteur central (tableau des acteurs, US20 à US22, PB13, sprint 7).</w:t>
      </w:r>
    </w:p>
    <w:p>
      <w:pPr>
        <w:pStyle w:val="ListParagraph"/>
        <w:numPr>
          <w:ilvl w:val="0"/>
          <w:numId w:val="2"/>
        </w:numPr>
        <w:spacing w:after="60" w:line="276"/>
      </w:pPr>
      <w:r>
        <w:rPr>
          <w:rFonts w:ascii="Arial" w:cs="Arial" w:eastAsia="Arial" w:hAnsi="Arial"/>
          <w:b/>
          <w:bCs/>
          <w:sz w:val="21"/>
          <w:szCs w:val="21"/>
        </w:rPr>
        <w:t xml:space="preserve">Le reste de la Réalisation est exact </w:t>
      </w:r>
      <w:r>
        <w:rPr>
          <w:rFonts w:ascii="Arial" w:cs="Arial" w:eastAsia="Arial" w:hAnsi="Arial"/>
          <w:sz w:val="21"/>
          <w:szCs w:val="21"/>
        </w:rPr>
        <w:t xml:space="preserve">sur les versions, les services Docker, les 17 migrations et les mesures du matching, avec une exception : le nombre de tests d’intégration (140 aujourd’hui, pas 128).</w:t>
      </w:r>
    </w:p>
    <w:p>
      <w:pPr>
        <w:pStyle w:val="ListParagraph"/>
        <w:numPr>
          <w:ilvl w:val="0"/>
          <w:numId w:val="2"/>
        </w:numPr>
        <w:spacing w:after="60" w:line="276"/>
      </w:pPr>
      <w:r>
        <w:rPr>
          <w:rFonts w:ascii="Arial" w:cs="Arial" w:eastAsia="Arial" w:hAnsi="Arial"/>
          <w:b/>
          <w:bCs/>
          <w:sz w:val="21"/>
          <w:szCs w:val="21"/>
        </w:rPr>
        <w:t xml:space="preserve">Les renvois « tableau N » et « figure N » du texte sont décalés </w:t>
      </w:r>
      <w:r>
        <w:rPr>
          <w:rFonts w:ascii="Arial" w:cs="Arial" w:eastAsia="Arial" w:hAnsi="Arial"/>
          <w:sz w:val="21"/>
          <w:szCs w:val="21"/>
        </w:rPr>
        <w:t xml:space="preserve">(les légendes sont automatiques, les renvois sont tapés à la main). À corriger en dernier, une fois les ajouts faits.</w:t>
      </w:r>
    </w:p>
    <w:p>
      <w:pPr>
        <w:pStyle w:val="ListParagraph"/>
        <w:numPr>
          <w:ilvl w:val="0"/>
          <w:numId w:val="2"/>
        </w:numPr>
        <w:spacing w:after="60" w:line="276"/>
      </w:pPr>
      <w:r>
        <w:rPr>
          <w:rFonts w:ascii="Arial" w:cs="Arial" w:eastAsia="Arial" w:hAnsi="Arial"/>
          <w:b/>
          <w:bCs/>
          <w:sz w:val="21"/>
          <w:szCs w:val="21"/>
        </w:rPr>
        <w:t xml:space="preserve">Pour le back-office, il faut : </w:t>
      </w:r>
      <w:r>
        <w:rPr>
          <w:rFonts w:ascii="Arial" w:cs="Arial" w:eastAsia="Arial" w:hAnsi="Arial"/>
          <w:sz w:val="21"/>
          <w:szCs w:val="21"/>
        </w:rPr>
        <w:t xml:space="preserve">une sous-section d’installation, une ligne dans l’architecture, une sous-section de codage, une section de présentation (5 captures) et une ligne dans les tests. Les captures et extraits secondaires vont en annexe.</w:t>
      </w:r>
    </w:p>
    <w:p>
      <w:pPr>
        <w:pStyle w:val="Heading1"/>
        <w:spacing w:after="160" w:before="360"/>
      </w:pPr>
      <w:r>
        <w:rPr>
          <w:rFonts w:ascii="Arial" w:cs="Arial" w:eastAsia="Arial" w:hAnsi="Arial"/>
          <w:b/>
          <w:bCs/>
          <w:color w:val="332E86"/>
          <w:sz w:val="30"/>
          <w:szCs w:val="30"/>
        </w:rPr>
        <w:t xml:space="preserve">2. Vérification de la partie Réalisation</w:t>
      </w:r>
    </w:p>
    <w:p>
      <w:pPr>
        <w:pStyle w:val="Heading2"/>
        <w:spacing w:after="120" w:before="240"/>
      </w:pPr>
      <w:r>
        <w:rPr>
          <w:rFonts w:ascii="Arial" w:cs="Arial" w:eastAsia="Arial" w:hAnsi="Arial"/>
          <w:b/>
          <w:bCs/>
          <w:color w:val="211C5E"/>
          <w:sz w:val="25"/>
          <w:szCs w:val="25"/>
        </w:rPr>
        <w:t xml:space="preserve">2.1 Ce qui est exact (contrôlé dans le dépôt)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Affirmation du mémoire</w:t>
            </w:r>
          </w:p>
        </w:tc>
        <w:tc>
          <w:tcPr>
            <w:tcW w:type="dxa" w:w="6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Constat</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NestJS 10.4.15, React Native 0.86.3, Expo 57</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à package.json (NestJS ^10.4.15, react-native 0.86.3, expo ~57.0).</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Image Docker de l’API : Node 22 Alpine, deux étapes</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(Dockerfile : FROM node:22-alpine en builder et runtime).</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Services Docker Compose (tableau 31)</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db, pgadmin, redis, centrifugo, livekit, api, ollama (0.40.4-rc1), ollama-init, ollama-init-cv, paddleocr.</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17 migrations (tableau 34)</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17 dossiers dans prisma/migrations, regroupés en 16 lignes (cv_import et cv_import_progress sur la même ligne).</w:t>
            </w:r>
          </w:p>
        </w:tc>
      </w:tr>
      <w:tr>
        <w:trPr>
          <w:cantSplit/>
        </w:trPr>
        <w:tc>
          <w:tcPr>
            <w:tcW w:type="dxa" w:w="2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Seuil de similarité 0,65 ; 41 demandes et 29 tuteurs d’évaluation</w:t>
            </w:r>
          </w:p>
        </w:tc>
        <w:tc>
          <w:tcPr>
            <w:tcW w:type="dxa" w:w="6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(eval/report.md : recall@10 = 0,992 et nDCG@10 = 0,975).</w:t>
            </w:r>
          </w:p>
        </w:tc>
      </w:tr>
      <w:tr>
        <w:trPr>
          <w:cantSplit/>
        </w:trPr>
        <w:tc>
          <w:tcPr>
            <w:tcW w:type="dxa" w:w="2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214 tests unitaires</w:t>
            </w:r>
          </w:p>
        </w:tc>
        <w:tc>
          <w:tcPr>
            <w:tcW w:type="dxa" w:w="6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Conforme : npm test du 27/10/2026, 214 réussis, 0 échec.</w:t>
            </w:r>
          </w:p>
        </w:tc>
      </w:tr>
    </w:tbl>
    <w:p>
      <w:pPr>
        <w:spacing w:after="80"/>
      </w:pPr>
    </w:p>
    <w:p>
      <w:pPr>
        <w:pStyle w:val="Heading2"/>
        <w:spacing w:after="120" w:before="240"/>
      </w:pPr>
      <w:r>
        <w:rPr>
          <w:rFonts w:ascii="Arial" w:cs="Arial" w:eastAsia="Arial" w:hAnsi="Arial"/>
          <w:b/>
          <w:bCs/>
          <w:color w:val="211C5E"/>
          <w:sz w:val="25"/>
          <w:szCs w:val="25"/>
        </w:rPr>
        <w:t xml:space="preserve">2.2 Ce qu’il faut corriger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Emplacement</w:t>
            </w:r>
          </w:p>
        </w:tc>
        <w:tc>
          <w:tcPr>
            <w:tcW w:type="dxa" w:w="3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Constat</w:t>
            </w:r>
          </w:p>
        </w:tc>
        <w:tc>
          <w:tcPr>
            <w:tcW w:type="dxa" w:w="34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Correction proposée</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Tests : « 214 unitaires et 128 d’intégration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npm run test:int du 27/10/2026 sur base jetable : 140 tests réussis, 0 échec (35 suites).</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Écrire « 214 tests unitaires et 140 tests d’intégration ». Mettre la date du passage.</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36, ligne « Scénarios de bout en bout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Il cite scripts/*-e2e.ts, mais le dossier scripts du backend ne contient que e2e.mjs (parcours demandeur et tuteur) et try-matching.mjs.</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Citer les fichiers réellement présents, ou y ajouter le script du back-office (voir §3.4).</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6.1 « Poste de développement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 Le projet comporte deux dépôts de code ».</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Trois dépôts : backend, application mobile et back-office (dossier eduloc-admin).</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Tableaux 7 et 9 (moyens logiciels)</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Aucune technologie du back-office.</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React 19, Vite 6, Tailwind CSS 4 et lucide-react (icônes), avec leur utilité.</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Architecture : paragraphe d’introduction, tableau 33, figure 24, paragraphe de sécurité</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Un seul client (« premier niveau de présentation : l’application mobile »).</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le back-office comme second client : voir §3.2.</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Présentation de l’application</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Introduction : « trois modes d’utilisation » ; aucune section pour l’administrateur.</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la section « Espace de l’administrateur » : voir §3.5.</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Tableau 21 (acteurs), ligne Administrateur</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Ne mentionne pas la levée de suspension, l’activation ou l’annulation de l’offre commerciale, la gestion des plans.</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Compléter la ligne avec ces actions.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de planification des sprints, sprint 7, ligne « Espace d’administration : utilisateurs, offres, conflits, réindexation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Décrit l’espace d’administration sans dire qu’il s’agit d’une application web.</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Reformuler : « Back-office web d’administration : dossiers tuteurs, offres, utilisateurs, conflits, lieux partenaires, réindexation ».</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Figure 44</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texte de remplacement « [ Insérer ici la capture : code de la séance (session-otp-screen)… ] » est resté à la place de l’image.</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Insérer la capture, ou supprimer la figure.</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Conclusion et résumé</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Citent React Native / Expo et NestJS seulement.</w:t>
            </w:r>
          </w:p>
        </w:tc>
        <w:tc>
          <w:tcPr>
            <w:tcW w:type="dxa" w:w="34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Ajouter « et d’un back-office web (React) destiné à l’administration ».</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Après le titre « Annexes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texte « [Documents complémentaires : maquettes, extraits de code, questionnaires, etc.] » et un « TABLE DES MATIERES. » isolé.</w:t>
            </w:r>
          </w:p>
        </w:tc>
        <w:tc>
          <w:tcPr>
            <w:tcW w:type="dxa" w:w="34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Remplacer par les annexes (§4). Vérifier que « TABLE DES MATIERES. » n’est pas un reste à supprimer.</w:t>
            </w:r>
          </w:p>
        </w:tc>
      </w:tr>
    </w:tbl>
    <w:p>
      <w:pPr>
        <w:spacing w:after="80"/>
      </w:pPr>
    </w:p>
    <w:p>
      <w:pPr>
        <w:pStyle w:val="Heading2"/>
        <w:spacing w:after="120" w:before="240"/>
      </w:pPr>
      <w:r>
        <w:rPr>
          <w:rFonts w:ascii="Arial" w:cs="Arial" w:eastAsia="Arial" w:hAnsi="Arial"/>
          <w:b/>
          <w:bCs/>
          <w:color w:val="211C5E"/>
          <w:sz w:val="25"/>
          <w:szCs w:val="25"/>
        </w:rPr>
        <w:t xml:space="preserve">2.3 Renvois « tableau N » et « figure N » à corriger</w:t>
      </w:r>
    </w:p>
    <w:p>
      <w:pPr>
        <w:spacing w:after="120" w:line="288"/>
      </w:pPr>
      <w:r>
        <w:rPr>
          <w:rFonts w:ascii="Arial" w:cs="Arial" w:eastAsia="Arial" w:hAnsi="Arial"/>
          <w:sz w:val="21"/>
          <w:szCs w:val="21"/>
        </w:rPr>
        <w:t xml:space="preserve">Les légendes sont numérotées automatiquement (champs SEQ), mais les renvois dans le texte sont tapés à la main. À partir du tableau 14, ils sont décalés d’un cran ; pour les figures des sprints, de deux. Plusieurs renvois sont encore « figure _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626"/>
      </w:tblGrid>
      <w:tr>
        <w:trPr>
          <w:tblHeader/>
        </w:trPr>
        <w:tc>
          <w:tcPr>
            <w:tcW w:type="dxa" w:w="30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Passage (texte actuel)</w:t>
            </w:r>
          </w:p>
        </w:tc>
        <w:tc>
          <w:tcPr>
            <w:tcW w:type="dxa" w:w="24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Écrit</w:t>
            </w:r>
          </w:p>
        </w:tc>
        <w:tc>
          <w:tcPr>
            <w:tcW w:type="dxa" w:w="3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Devrait être</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Services Docker</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30</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31</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Variables d’environnement du backend</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31</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32</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Architecture : couches ; vue d’ensemble</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32 ; figure _</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33 ; figure 24</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Migrations ; contraintes SQL</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33 ; tableau 34</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34 ; tableau 35</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Acceptation d’une réservation : séquence ; extrait de code</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_ ; figure _</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31 ; figure 32</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Suites de tests</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35</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36</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Sprints 1 à 7 (diagrammes de classes)</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figures 5, _, _, 8 et 9, 10, 11, 12</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figures 7, 8, 9, 10 et 11, 12, 13, 14</w:t>
            </w:r>
          </w:p>
        </w:tc>
      </w:tr>
      <w:tr>
        <w:trPr>
          <w:cantSplit/>
        </w:trPr>
        <w:tc>
          <w:tcPr>
            <w:tcW w:type="dxa" w:w="3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Paquetages ; déploiement</w:t>
            </w:r>
          </w:p>
        </w:tc>
        <w:tc>
          <w:tcPr>
            <w:tcW w:type="dxa" w:w="24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28, figure 14 ; tableau 29, figure 15</w:t>
            </w:r>
          </w:p>
        </w:tc>
        <w:tc>
          <w:tcPr>
            <w:tcW w:type="dxa" w:w="3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tableau 29, figure 16 ; tableau 30, figure 17</w:t>
            </w:r>
          </w:p>
        </w:tc>
      </w:tr>
      <w:tr>
        <w:trPr>
          <w:cantSplit/>
        </w:trPr>
        <w:tc>
          <w:tcPr>
            <w:tcW w:type="dxa" w:w="3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Comparaisons de la partie Analyse (tableaux 14 à 27)</w:t>
            </w:r>
          </w:p>
        </w:tc>
        <w:tc>
          <w:tcPr>
            <w:tcW w:type="dxa" w:w="24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w:t>
            </w:r>
          </w:p>
        </w:tc>
        <w:tc>
          <w:tcPr>
            <w:tcW w:type="dxa" w:w="3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 + 1</w:t>
            </w:r>
          </w:p>
        </w:tc>
      </w:tr>
    </w:tbl>
    <w:p>
      <w:pPr>
        <w:spacing w:after="120" w:line="288"/>
      </w:pPr>
      <w:r>
        <w:rPr>
          <w:rFonts w:ascii="Arial" w:cs="Arial" w:eastAsia="Arial" w:hAnsi="Arial"/>
          <w:b/>
          <w:bCs/>
          <w:sz w:val="21"/>
          <w:szCs w:val="21"/>
        </w:rPr>
        <w:t xml:space="preserve">Méthode. </w:t>
      </w:r>
      <w:r>
        <w:rPr>
          <w:rFonts w:ascii="Arial" w:cs="Arial" w:eastAsia="Arial" w:hAnsi="Arial"/>
          <w:sz w:val="21"/>
          <w:szCs w:val="21"/>
        </w:rPr>
        <w:t xml:space="preserve">Ne corrigez qu’après avoir inséré les nouvelles figures et tableaux du back-office, qui décalent encore la numérotation. Le plus sûr : remplacer chaque renvoi par un renvoi Word (Insertion &gt; Renvoi &gt; Figure ou Tableau &gt; « Étiquette et numéro seulement »), qui se met à jour avec F9.</w:t>
      </w:r>
    </w:p>
    <w:p>
      <w:pPr>
        <w:pStyle w:val="Heading1"/>
        <w:spacing w:after="160" w:before="360"/>
      </w:pPr>
      <w:r>
        <w:rPr>
          <w:rFonts w:ascii="Arial" w:cs="Arial" w:eastAsia="Arial" w:hAnsi="Arial"/>
          <w:b/>
          <w:bCs/>
          <w:color w:val="332E86"/>
          <w:sz w:val="30"/>
          <w:szCs w:val="30"/>
        </w:rPr>
        <w:t xml:space="preserve">3. Présenter le back-office dans la Réalisation</w:t>
      </w:r>
    </w:p>
    <w:p>
      <w:pPr>
        <w:spacing w:after="120" w:line="288"/>
      </w:pPr>
      <w:r>
        <w:rPr>
          <w:rFonts w:ascii="Arial" w:cs="Arial" w:eastAsia="Arial" w:hAnsi="Arial"/>
          <w:sz w:val="21"/>
          <w:szCs w:val="21"/>
        </w:rPr>
        <w:t xml:space="preserve">Le plan suit l’ordre du chapitre existant. Chaque ajout est court, car la Réalisation du mémoire est déjà dense : les captures et extraits secondaires vont en annexe.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700"/>
        <w:gridCol w:w="2826"/>
      </w:tblGrid>
      <w:tr>
        <w:trPr>
          <w:tblHeader/>
        </w:trPr>
        <w:tc>
          <w:tcPr>
            <w:tcW w:type="dxa" w:w="25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Où</w:t>
            </w:r>
          </w:p>
        </w:tc>
        <w:tc>
          <w:tcPr>
            <w:tcW w:type="dxa" w:w="3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Ajout</w:t>
            </w:r>
          </w:p>
        </w:tc>
        <w:tc>
          <w:tcPr>
            <w:tcW w:type="dxa" w:w="28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Éléments à produire</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6.1 après « Application mobile Expo / React Native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sous-section « Back-office web (React / Vite) » (§3.1)</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 lancement du back-office (terminal avec npm run dev)</w:t>
            </w:r>
          </w:p>
        </w:tc>
      </w:tr>
      <w:tr>
        <w:trPr>
          <w:cantSplit/>
        </w:trPr>
        <w:tc>
          <w:tcPr>
            <w:tcW w:type="dxa" w:w="25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 Architecture de l’application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client de plus : phrase d’introduction, ligne du tableau 33, phrase de sécurité (§3.2)</w:t>
            </w:r>
          </w:p>
        </w:tc>
        <w:tc>
          <w:tcPr>
            <w:tcW w:type="dxa" w:w="2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Figure 24 à refaire avec le back-office</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 Codage de l’application », après « Codage du côté application mobile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sous-section « Codage du côté back-office » (§3.3)</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2 extraits de code (figures)</w:t>
            </w:r>
          </w:p>
        </w:tc>
      </w:tr>
      <w:tr>
        <w:trPr>
          <w:cantSplit/>
        </w:trPr>
        <w:tc>
          <w:tcPr>
            <w:tcW w:type="dxa" w:w="25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 Tests »</w:t>
            </w:r>
          </w:p>
        </w:tc>
        <w:tc>
          <w:tcPr>
            <w:tcW w:type="dxa" w:w="37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paragraphe et une ligne au tableau 36 (§3.4)</w:t>
            </w:r>
          </w:p>
        </w:tc>
        <w:tc>
          <w:tcPr>
            <w:tcW w:type="dxa" w:w="28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Aucun</w:t>
            </w:r>
          </w:p>
        </w:tc>
      </w:tr>
      <w:tr>
        <w:trPr>
          <w:cantSplit/>
        </w:trPr>
        <w:tc>
          <w:tcPr>
            <w:tcW w:type="dxa" w:w="25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 Présentation de l’application », après « Espace du lieu partenaire »</w:t>
            </w:r>
          </w:p>
        </w:tc>
        <w:tc>
          <w:tcPr>
            <w:tcW w:type="dxa" w:w="3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Nouvelle section « Espace de l’administrateur (back-office) » (§3.5)</w:t>
            </w:r>
          </w:p>
        </w:tc>
        <w:tc>
          <w:tcPr>
            <w:tcW w:type="dxa" w:w="28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5 captures dans le corps, le reste en annexe B</w:t>
            </w:r>
          </w:p>
        </w:tc>
      </w:tr>
    </w:tbl>
    <w:p>
      <w:pPr>
        <w:pStyle w:val="Heading2"/>
        <w:spacing w:after="120" w:before="240"/>
      </w:pPr>
      <w:r>
        <w:rPr>
          <w:rFonts w:ascii="Arial" w:cs="Arial" w:eastAsia="Arial" w:hAnsi="Arial"/>
          <w:b/>
          <w:bCs/>
          <w:color w:val="211C5E"/>
          <w:sz w:val="25"/>
          <w:szCs w:val="25"/>
        </w:rPr>
        <w:t xml:space="preserve">3.1 Installation et lancement du back-office</w:t>
      </w:r>
    </w:p>
    <w:p>
      <w:pPr>
        <w:spacing w:after="60" w:before="120"/>
      </w:pPr>
      <w:r>
        <w:rPr>
          <w:rFonts w:ascii="Arial" w:cs="Arial" w:eastAsia="Arial" w:hAnsi="Arial"/>
          <w:b/>
          <w:bCs/>
          <w:color w:val="332E86"/>
          <w:sz w:val="19"/>
          <w:szCs w:val="19"/>
        </w:rPr>
        <w:t xml:space="preserve">À insérer après la sous-section « Application mobile Expo / React Native » (titre de niveau 4 : « Back-office web (React / Vite)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est l’application web réservée à l’administration de la plateforme. Il est développé avec React et TypeScript, construit avec Vite et mis en forme avec Tailwind CSS ; il constitue le troisième dépôt du projet (dossier eduloc-admin). Après l’installation des dépendances, la commande npm run dev démarre le serveur de développement, accessible à l’adresse http://localhost:5173. L’adresse de l’API se règle avec la variable VITE_API_URL (http://localhost:3003/api par défaut).</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ne possède ni base de données ni règle métier propre : il appelle uniquement les routes /admin de l’API et n’affiche que ce qu’elle renvoie. La connexion est refusée à tout compte qui ne dispose pas des droits d’administration, même si l’adresse e-mail et le mot de passe sont corrects.</w:t>
      </w:r>
    </w:p>
    <w:p>
      <w:pPr>
        <w:spacing w:after="60" w:before="120"/>
      </w:pPr>
      <w:r>
        <w:rPr>
          <w:rFonts w:ascii="Arial" w:cs="Arial" w:eastAsia="Arial" w:hAnsi="Arial"/>
          <w:b/>
          <w:bCs/>
          <w:color w:val="332E86"/>
          <w:sz w:val="19"/>
          <w:szCs w:val="19"/>
        </w:rPr>
        <w:t xml:space="preserve">Légende à créer : « Figure N : Lancement du back-office » (capture du terminal après npm run dev).</w:t>
      </w:r>
    </w:p>
    <w:p>
      <w:pPr>
        <w:spacing w:after="120" w:line="288"/>
      </w:pPr>
      <w:r>
        <w:rPr>
          <w:rFonts w:ascii="Arial" w:cs="Arial" w:eastAsia="Arial" w:hAnsi="Arial"/>
          <w:sz w:val="21"/>
          <w:szCs w:val="21"/>
        </w:rPr>
        <w:t xml:space="preserve">Pour le tableau des moyens logiciels (tableaux 7 et 9), lignes à ajouter : React (v19) – bibliothèque d’interfaces web ; Vite (v6) – outil de construction et serveur de développement ; Tailwind CSS (v4) – mise en forme ; lucide-react – icônes. Vérifiez les numéros exacts avec « npm ls react vite tailwindcss » dans eduloc-admin.</w:t>
      </w:r>
    </w:p>
    <w:p>
      <w:pPr>
        <w:pStyle w:val="Heading2"/>
        <w:spacing w:after="120" w:before="240"/>
      </w:pPr>
      <w:r>
        <w:rPr>
          <w:rFonts w:ascii="Arial" w:cs="Arial" w:eastAsia="Arial" w:hAnsi="Arial"/>
          <w:b/>
          <w:bCs/>
          <w:color w:val="211C5E"/>
          <w:sz w:val="25"/>
          <w:szCs w:val="25"/>
        </w:rPr>
        <w:t xml:space="preserve">3.2 Architecture et sécurité</w:t>
      </w:r>
    </w:p>
    <w:p>
      <w:pPr>
        <w:spacing w:after="60" w:before="120"/>
      </w:pPr>
      <w:r>
        <w:rPr>
          <w:rFonts w:ascii="Arial" w:cs="Arial" w:eastAsia="Arial" w:hAnsi="Arial"/>
          <w:b/>
          <w:bCs/>
          <w:color w:val="332E86"/>
          <w:sz w:val="19"/>
          <w:szCs w:val="19"/>
        </w:rPr>
        <w:t xml:space="preserve">Paragraphe d’introduction de « Architecture de l’application » : remplacer la phrase sur le premier niveau par</w:t>
      </w:r>
    </w:p>
    <w:p>
      <w:pPr>
        <w:pBdr>
          <w:left w:val="single" w:color="332E86" w:sz="18" w:space="8"/>
        </w:pBdr>
        <w:shd w:fill="F3F2FB" w:val="clear"/>
        <w:spacing w:after="100" w:line="288"/>
        <w:ind w:left="200" w:right="100"/>
      </w:pPr>
      <w:r>
        <w:rPr>
          <w:rFonts w:ascii="Arial" w:cs="Arial" w:eastAsia="Arial" w:hAnsi="Arial"/>
          <w:sz w:val="21"/>
          <w:szCs w:val="21"/>
        </w:rPr>
        <w:t xml:space="preserve">…un premier niveau de présentation, composé de l’application mobile (demandeurs, tuteurs et gestionnaires de lieux) et du back-office web (administrateurs), un deuxième niveau de traitements applicatifs (l’API) et un troisième niveau de données (PostgreSQL, Redis et le stockage de fichiers).</w:t>
      </w:r>
    </w:p>
    <w:p>
      <w:pPr>
        <w:spacing w:after="60" w:before="120"/>
      </w:pPr>
      <w:r>
        <w:rPr>
          <w:rFonts w:ascii="Arial" w:cs="Arial" w:eastAsia="Arial" w:hAnsi="Arial"/>
          <w:b/>
          <w:bCs/>
          <w:color w:val="332E86"/>
          <w:sz w:val="19"/>
          <w:szCs w:val="19"/>
        </w:rPr>
        <w:t xml:space="preserve">Ligne à ajouter au tableau 33 (Niveau | Couche | Responsabilité)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626"/>
      </w:tblGrid>
      <w:tr>
        <w:trPr>
          <w:tblHeader/>
        </w:trPr>
        <w:tc>
          <w:tcPr>
            <w:tcW w:type="dxa" w:w="1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Niveau</w:t>
            </w:r>
          </w:p>
        </w:tc>
        <w:tc>
          <w:tcPr>
            <w:tcW w:type="dxa" w:w="2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Couche</w:t>
            </w:r>
          </w:p>
        </w:tc>
        <w:tc>
          <w:tcPr>
            <w:tcW w:type="dxa" w:w="4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Responsabilité</w:t>
            </w:r>
          </w:p>
        </w:tc>
      </w:tr>
      <w:tr>
        <w:trPr>
          <w:cantSplit/>
        </w:trPr>
        <w:tc>
          <w:tcPr>
            <w:tcW w:type="dxa" w:w="1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1. Présentation</w:t>
            </w:r>
          </w:p>
        </w:tc>
        <w:tc>
          <w:tcPr>
            <w:tcW w:type="dxa" w:w="2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Back-office web (React, Vite)</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Écrans d’administration : un client HTTP unique (jetons, renouvellement automatique), un module d’appels par action de l’administrateur, des écrans sans appel réseau direct.</w:t>
            </w:r>
          </w:p>
        </w:tc>
      </w:tr>
    </w:tbl>
    <w:p>
      <w:pPr>
        <w:spacing w:after="80"/>
      </w:pPr>
    </w:p>
    <w:p>
      <w:pPr>
        <w:spacing w:after="60" w:before="120"/>
      </w:pPr>
      <w:r>
        <w:rPr>
          <w:rFonts w:ascii="Arial" w:cs="Arial" w:eastAsia="Arial" w:hAnsi="Arial"/>
          <w:b/>
          <w:bCs/>
          <w:color w:val="332E86"/>
          <w:sz w:val="19"/>
          <w:szCs w:val="19"/>
        </w:rPr>
        <w:t xml:space="preserve">À ajouter à la fin du paragraphe sur la sécurité</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n’ouvre aucune porte supplémentaire : toutes les routes d’administration sont protégées par un garde (AdminGuard) qui refuse tout compte sans droits d’administration, et les décisions sensibles (refus, suspension, masquage d’un avis) exigent un motif conservé dans l’historique.</w:t>
      </w:r>
    </w:p>
    <w:p>
      <w:pPr>
        <w:spacing w:after="120" w:line="288"/>
      </w:pPr>
      <w:r>
        <w:rPr>
          <w:rFonts w:ascii="Arial" w:cs="Arial" w:eastAsia="Arial" w:hAnsi="Arial"/>
          <w:sz w:val="21"/>
          <w:szCs w:val="21"/>
        </w:rPr>
        <w:t xml:space="preserve">Figure 24 : ajouter dans le schéma un second bloc « Back-office web (React) » relié à l’API, à côté de l’application mobile.</w:t>
      </w:r>
    </w:p>
    <w:p>
      <w:pPr>
        <w:pStyle w:val="Heading2"/>
        <w:spacing w:after="120" w:before="240"/>
      </w:pPr>
      <w:r>
        <w:rPr>
          <w:rFonts w:ascii="Arial" w:cs="Arial" w:eastAsia="Arial" w:hAnsi="Arial"/>
          <w:b/>
          <w:bCs/>
          <w:color w:val="211C5E"/>
          <w:sz w:val="25"/>
          <w:szCs w:val="25"/>
        </w:rPr>
        <w:t xml:space="preserve">3.3 Codage du côté back-office</w:t>
      </w:r>
    </w:p>
    <w:p>
      <w:pPr>
        <w:spacing w:after="60" w:before="120"/>
      </w:pPr>
      <w:r>
        <w:rPr>
          <w:rFonts w:ascii="Arial" w:cs="Arial" w:eastAsia="Arial" w:hAnsi="Arial"/>
          <w:b/>
          <w:bCs/>
          <w:color w:val="332E86"/>
          <w:sz w:val="19"/>
          <w:szCs w:val="19"/>
        </w:rPr>
        <w:t xml:space="preserve">Nouveau titre de niveau 4 « Codage du côté back-office », juste avant « Tests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suit la même séparation que l’application mobile. Un client HTTP unique (src/lib/http.ts) ajoute le jeton d’accès à chaque requête, le renouvelle une seule fois lorsque l’API répond par une erreur d’authentification (le jeton de rafraîchissement étant à usage unique, un seul renouvellement est lancé à la fois, même si plusieurs requêtes échouent ensemble) et transforme les erreurs de l’API en messages lisibles. Un module (src/lib/api.ts) expose une fonction par action de l’administrateur. Les écrans ne contiennent aucun appel réseau : ils s’appuient sur deux hooks, useAsync, qui charge et recharge les données en ignorant les réponses périmées, et useAction, qui exécute une écriture et affiche le succès ou l’erreur renvoyée par le serveur.</w:t>
      </w:r>
    </w:p>
    <w:p>
      <w:pPr>
        <w:pBdr>
          <w:left w:val="single" w:color="332E86" w:sz="18" w:space="8"/>
        </w:pBdr>
        <w:shd w:fill="F3F2FB" w:val="clear"/>
        <w:spacing w:after="100" w:line="288"/>
        <w:ind w:left="200" w:right="100"/>
      </w:pPr>
      <w:r>
        <w:rPr>
          <w:rFonts w:ascii="Arial" w:cs="Arial" w:eastAsia="Arial" w:hAnsi="Arial"/>
          <w:sz w:val="21"/>
          <w:szCs w:val="21"/>
        </w:rPr>
        <w:t xml:space="preserve">Deux règles de gestion illustrent le rôle de l’administrateur. D’abord, approuver un justificatif dont l’authenticité est contrôlée (diplôme, relevé de notes, certificat, preuve d’expérience) exige une confirmation explicite : sans elle, l’API refuse la décision. Le libellé « vérifié » montré au demandeur n’a de sens que si une personne a réellement contrôlé la pièce ; pour cela, une route délivre un lien de lecture valable dix minutes. Ensuite, suspendre un tuteur le retire de la recherche et signale, dans la même transaction, chacune de ses séances à venir par un conflit ; lever la suspension le rétablit et classe automatiquement les conflits de ce type.</w:t>
      </w:r>
    </w:p>
    <w:p>
      <w:pPr>
        <w:spacing w:after="60" w:before="120"/>
      </w:pPr>
      <w:r>
        <w:rPr>
          <w:rFonts w:ascii="Arial" w:cs="Arial" w:eastAsia="Arial" w:hAnsi="Arial"/>
          <w:b/>
          <w:bCs/>
          <w:color w:val="332E86"/>
          <w:sz w:val="19"/>
          <w:szCs w:val="19"/>
        </w:rPr>
        <w:t xml:space="preserve">Deux figures à créer (capture d’écran de l’éditeur, comme les figures 28 à 35)</w:t>
      </w:r>
    </w:p>
    <w:p>
      <w:pPr>
        <w:pStyle w:val="ListParagraph"/>
        <w:numPr>
          <w:ilvl w:val="0"/>
          <w:numId w:val="2"/>
        </w:numPr>
        <w:spacing w:after="60" w:line="276"/>
      </w:pPr>
      <w:r>
        <w:rPr>
          <w:rFonts w:ascii="Arial" w:cs="Arial" w:eastAsia="Arial" w:hAnsi="Arial"/>
          <w:b/>
          <w:bCs/>
          <w:sz w:val="21"/>
          <w:szCs w:val="21"/>
        </w:rPr>
        <w:t xml:space="preserve">Figure N : Extrait de admin.service.ts : reviewDocument. </w:t>
      </w:r>
      <w:r>
        <w:rPr>
          <w:rFonts w:ascii="Arial" w:cs="Arial" w:eastAsia="Arial" w:hAnsi="Arial"/>
          <w:sz w:val="21"/>
          <w:szCs w:val="21"/>
        </w:rPr>
        <w:t xml:space="preserve">Fichier edUloc back/eduloc-backend/src/modules/admin/admin.service.ts, la méthode reviewDocument (le test AUTHENTICITY_CHECKED_TYPES et l’erreur AUTHENTICITY_CONFIRMATION_REQUIRED).</w:t>
      </w:r>
    </w:p>
    <w:p>
      <w:pPr>
        <w:pStyle w:val="ListParagraph"/>
        <w:numPr>
          <w:ilvl w:val="0"/>
          <w:numId w:val="2"/>
        </w:numPr>
        <w:spacing w:after="60" w:line="276"/>
      </w:pPr>
      <w:r>
        <w:rPr>
          <w:rFonts w:ascii="Arial" w:cs="Arial" w:eastAsia="Arial" w:hAnsi="Arial"/>
          <w:b/>
          <w:bCs/>
          <w:sz w:val="21"/>
          <w:szCs w:val="21"/>
        </w:rPr>
        <w:t xml:space="preserve">Figure N+1 : Extrait de http.ts : renouvellement du jeton. </w:t>
      </w:r>
      <w:r>
        <w:rPr>
          <w:rFonts w:ascii="Arial" w:cs="Arial" w:eastAsia="Arial" w:hAnsi="Arial"/>
          <w:sz w:val="21"/>
          <w:szCs w:val="21"/>
        </w:rPr>
        <w:t xml:space="preserve">Fichier eduloc-admin/src/lib/http.ts, la fonction refreshTokens et le début de request.</w:t>
      </w:r>
    </w:p>
    <w:p>
      <w:pPr>
        <w:pStyle w:val="Heading2"/>
        <w:spacing w:after="120" w:before="240"/>
      </w:pPr>
      <w:r>
        <w:rPr>
          <w:rFonts w:ascii="Arial" w:cs="Arial" w:eastAsia="Arial" w:hAnsi="Arial"/>
          <w:b/>
          <w:bCs/>
          <w:color w:val="211C5E"/>
          <w:sz w:val="25"/>
          <w:szCs w:val="25"/>
        </w:rPr>
        <w:t xml:space="preserve">3.4 Tests</w:t>
      </w:r>
    </w:p>
    <w:p>
      <w:pPr>
        <w:spacing w:after="60" w:before="120"/>
      </w:pPr>
      <w:r>
        <w:rPr>
          <w:rFonts w:ascii="Arial" w:cs="Arial" w:eastAsia="Arial" w:hAnsi="Arial"/>
          <w:b/>
          <w:bCs/>
          <w:color w:val="332E86"/>
          <w:sz w:val="19"/>
          <w:szCs w:val="19"/>
        </w:rPr>
        <w:t xml:space="preserve">À ajouter à la fin de la sous-section « Tests »</w:t>
      </w:r>
    </w:p>
    <w:p>
      <w:pPr>
        <w:pBdr>
          <w:left w:val="single" w:color="332E86" w:sz="18" w:space="8"/>
        </w:pBdr>
        <w:shd w:fill="F3F2FB" w:val="clear"/>
        <w:spacing w:after="100" w:line="288"/>
        <w:ind w:left="200" w:right="100"/>
      </w:pPr>
      <w:r>
        <w:rPr>
          <w:rFonts w:ascii="Arial" w:cs="Arial" w:eastAsia="Arial" w:hAnsi="Arial"/>
          <w:sz w:val="21"/>
          <w:szCs w:val="21"/>
        </w:rPr>
        <w:t xml:space="preserve">Le back-office est vérifié de deux façons. Un test d’intégration (tutor-suspension.int.spec.ts, 4 tests) contrôle la suspension d’un tuteur, la levée de la suspension et la détection planifiée des conflits sur la base jetable. Un scénario de bout en bout de 49 vérifications est exécuté avec le client même du back-office contre une API démarrée sur cette base : connexion, instruction d’un dossier de tuteur, modération des offres, suspension et conflits, examen d’une structure et d’une salle, gestion des plans. Le détail figure en annexe D.</w:t>
      </w:r>
    </w:p>
    <w:p>
      <w:pPr>
        <w:spacing w:after="60" w:before="120"/>
      </w:pPr>
      <w:r>
        <w:rPr>
          <w:rFonts w:ascii="Arial" w:cs="Arial" w:eastAsia="Arial" w:hAnsi="Arial"/>
          <w:b/>
          <w:bCs/>
          <w:color w:val="332E86"/>
          <w:sz w:val="19"/>
          <w:szCs w:val="19"/>
        </w:rPr>
        <w:t xml:space="preserve">Ligne à ajouter au tableau 36 (Suite | Commande | Contenu)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700"/>
        <w:gridCol w:w="4026"/>
      </w:tblGrid>
      <w:tr>
        <w:trPr>
          <w:tblHeader/>
        </w:trPr>
        <w:tc>
          <w:tcPr>
            <w:tcW w:type="dxa" w:w="2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Suite</w:t>
            </w:r>
          </w:p>
        </w:tc>
        <w:tc>
          <w:tcPr>
            <w:tcW w:type="dxa" w:w="27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Commande</w:t>
            </w:r>
          </w:p>
        </w:tc>
        <w:tc>
          <w:tcPr>
            <w:tcW w:type="dxa" w:w="40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Scénario du back-office</w:t>
            </w:r>
          </w:p>
        </w:tc>
        <w:tc>
          <w:tcPr>
            <w:tcW w:type="dxa" w:w="27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npx tsx scripts/admin-e2e.ts</w:t>
            </w:r>
          </w:p>
        </w:tc>
        <w:tc>
          <w:tcPr>
            <w:tcW w:type="dxa" w:w="40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Parcours de l’administrateur via le client du back-office : 49 vérifications.</w:t>
            </w:r>
          </w:p>
        </w:tc>
      </w:tr>
    </w:tbl>
    <w:p>
      <w:pPr>
        <w:spacing w:after="80"/>
      </w:pPr>
    </w:p>
    <w:p>
      <w:pPr>
        <w:spacing w:after="120" w:line="288"/>
      </w:pPr>
      <w:r>
        <w:rPr>
          <w:rFonts w:ascii="Arial" w:cs="Arial" w:eastAsia="Arial" w:hAnsi="Arial"/>
          <w:b/>
          <w:bCs/>
          <w:sz w:val="21"/>
          <w:szCs w:val="21"/>
        </w:rPr>
        <w:t xml:space="preserve">Point à décider. </w:t>
      </w:r>
      <w:r>
        <w:rPr>
          <w:rFonts w:ascii="Arial" w:cs="Arial" w:eastAsia="Arial" w:hAnsi="Arial"/>
          <w:sz w:val="21"/>
          <w:szCs w:val="21"/>
        </w:rPr>
        <w:t xml:space="preserve">Le scénario de 49 vérifications que j’ai exécuté était un fichier temporaire, supprimé après usage. Pour le citer dans le mémoire comme tous les autres tests, il doit exister dans le dépôt. Je peux le recréer sous scripts/admin-e2e.ts. Sinon, retirez la ligne du tableau et la mention de la commande.</w:t>
      </w:r>
    </w:p>
    <w:p>
      <w:pPr>
        <w:pStyle w:val="Heading2"/>
        <w:spacing w:after="120" w:before="240"/>
      </w:pPr>
      <w:r>
        <w:rPr>
          <w:rFonts w:ascii="Arial" w:cs="Arial" w:eastAsia="Arial" w:hAnsi="Arial"/>
          <w:b/>
          <w:bCs/>
          <w:color w:val="211C5E"/>
          <w:sz w:val="25"/>
          <w:szCs w:val="25"/>
        </w:rPr>
        <w:t xml:space="preserve">3.5 Présentation de l’application : espace de l’administrateur</w:t>
      </w:r>
    </w:p>
    <w:p>
      <w:pPr>
        <w:spacing w:after="60" w:before="120"/>
      </w:pPr>
      <w:r>
        <w:rPr>
          <w:rFonts w:ascii="Arial" w:cs="Arial" w:eastAsia="Arial" w:hAnsi="Arial"/>
          <w:b/>
          <w:bCs/>
          <w:color w:val="332E86"/>
          <w:sz w:val="19"/>
          <w:szCs w:val="19"/>
        </w:rPr>
        <w:t xml:space="preserve">Introduction de « Présentation de l’application » : ajouter à la fin</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L’administration de la plateforme s’effectue dans une application web distincte, le back-office, présentée à la fin de cette section.</w:t>
      </w:r>
    </w:p>
    <w:p>
      <w:pPr>
        <w:spacing w:after="60" w:before="120"/>
      </w:pPr>
      <w:r>
        <w:rPr>
          <w:rFonts w:ascii="Arial" w:cs="Arial" w:eastAsia="Arial" w:hAnsi="Arial"/>
          <w:b/>
          <w:bCs/>
          <w:color w:val="332E86"/>
          <w:sz w:val="19"/>
          <w:szCs w:val="19"/>
        </w:rPr>
        <w:t xml:space="preserve">Nouveau titre de niveau 4 « Espace de l’administrateur (back-office) », après « Espace du lieu partenaire »</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L’administrateur se connecte au back-office avec un compte disposant des droits d’administration ; l’écran de connexion reprend l’identité d’edUloc. Le menu latéral regroupe les fonctions en trois familles : tuteurs, plateforme et lieux partenaires. Une pastille rouge indique le nombre d’éléments en attente de décision.</w:t>
      </w:r>
    </w:p>
    <w:p>
      <w:pPr>
        <w:pBdr>
          <w:left w:val="single" w:color="332E86" w:sz="18" w:space="8"/>
        </w:pBdr>
        <w:shd w:fill="F3F2FB" w:val="clear"/>
        <w:spacing w:after="100" w:line="288"/>
        <w:ind w:left="200" w:right="100"/>
      </w:pPr>
      <w:r>
        <w:rPr>
          <w:rFonts w:ascii="Arial" w:cs="Arial" w:eastAsia="Arial" w:hAnsi="Arial"/>
          <w:sz w:val="21"/>
          <w:szCs w:val="21"/>
        </w:rPr>
        <w:t xml:space="preserve">Le tableau de bord présente d’abord ce qui attend l’administrateur : dossiers de tuteurs à examiner, structures et salles soumises, conflits ouverts. Il affiche ensuite quelques compteurs de la plateforme et permet de relancer l’indexation de la recherche sémantique.</w:t>
      </w:r>
    </w:p>
    <w:p>
      <w:pPr>
        <w:pBdr>
          <w:left w:val="single" w:color="332E86" w:sz="18" w:space="8"/>
        </w:pBdr>
        <w:shd w:fill="F3F2FB" w:val="clear"/>
        <w:spacing w:after="100" w:line="288"/>
        <w:ind w:left="200" w:right="100"/>
      </w:pPr>
      <w:r>
        <w:rPr>
          <w:rFonts w:ascii="Arial" w:cs="Arial" w:eastAsia="Arial" w:hAnsi="Arial"/>
          <w:sz w:val="21"/>
          <w:szCs w:val="21"/>
        </w:rPr>
        <w:t xml:space="preserve">L’écran des dossiers de tuteurs est le plus important. La fiche d’un dossier réunit le profil, les expériences, les matières déclarées et les justificatifs. L’administrateur ouvre chaque pièce, l’approuve ou la refuse ; approuver un diplôme exige de confirmer qu’il l’a contrôlé. Pour un diplôme hors des catégories principales, il tranche une équivalence qui sera réutilisée pour les dossiers semblables. Il valide ensuite le niveau académique du tuteur, seul niveau pris en compte pour l’accès aux niveaux universitaires, puis approuve ou refuse le dossier en indiquant un motif. Sur un tuteur déjà approuvé, il peut suspendre le profil, lever la suspension ou relancer l’indexation.</w:t>
      </w:r>
    </w:p>
    <w:p>
      <w:pPr>
        <w:pBdr>
          <w:left w:val="single" w:color="332E86" w:sz="18" w:space="8"/>
        </w:pBdr>
        <w:shd w:fill="F3F2FB" w:val="clear"/>
        <w:spacing w:after="100" w:line="288"/>
        <w:ind w:left="200" w:right="100"/>
      </w:pPr>
      <w:r>
        <w:rPr>
          <w:rFonts w:ascii="Arial" w:cs="Arial" w:eastAsia="Arial" w:hAnsi="Arial"/>
          <w:sz w:val="21"/>
          <w:szCs w:val="21"/>
        </w:rPr>
        <w:t xml:space="preserve">L’administrateur peut aussi retirer une offre, que le tuteur ne peut alors plus réactiver, suspendre ou réactiver un compte, et consulter les réservations. Cette consultation est en lecture seule : l’acceptation, le refus et l’annulation d’une séance appartiennent au tuteur et au demandeur. Les conflits, par exemple une séance dont le tuteur a été suspendu, sont résolus avec une note ou classés sans suite.</w:t>
      </w:r>
    </w:p>
    <w:p>
      <w:pPr>
        <w:pBdr>
          <w:left w:val="single" w:color="332E86" w:sz="18" w:space="8"/>
        </w:pBdr>
        <w:shd w:fill="F3F2FB" w:val="clear"/>
        <w:spacing w:after="100" w:line="288"/>
        <w:ind w:left="200" w:right="100"/>
      </w:pPr>
      <w:r>
        <w:rPr>
          <w:rFonts w:ascii="Arial" w:cs="Arial" w:eastAsia="Arial" w:hAnsi="Arial"/>
          <w:sz w:val="21"/>
          <w:szCs w:val="21"/>
        </w:rPr>
        <w:t xml:space="preserve">Pour les lieux partenaires, structures et salles sont examinées séparément. À chaque état d’un dossier, le back-office ne propose que les décisions autorisées par le cycle de vie : commencer l’examen, valider, demander des corrections, refuser, suspendre, désactiver ou rétablir. Un motif est obligatoire lorsque le gestionnaire doit savoir quoi corriger ; le NIF et le numéro statistique sont exigés pour valider une structure. L’administrateur peut retirer une salle de la publication, activer ou annuler l’offre commerciale d’une structure, masquer un avis et gérer le catalogue des offres commerciales.</w:t>
      </w:r>
    </w:p>
    <w:p>
      <w:pPr>
        <w:pStyle w:val="Heading3"/>
        <w:spacing w:after="80" w:before="180"/>
      </w:pPr>
      <w:r>
        <w:rPr>
          <w:rFonts w:ascii="Arial" w:cs="Arial" w:eastAsia="Arial" w:hAnsi="Arial"/>
          <w:b/>
          <w:bCs/>
          <w:sz w:val="22"/>
          <w:szCs w:val="22"/>
        </w:rPr>
        <w:t xml:space="preserve">Captures d’écran à faire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100"/>
        <w:gridCol w:w="5126"/>
      </w:tblGrid>
      <w:tr>
        <w:trPr>
          <w:tblHeader/>
        </w:trPr>
        <w:tc>
          <w:tcPr>
            <w:tcW w:type="dxa" w:w="8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Figure</w:t>
            </w:r>
          </w:p>
        </w:tc>
        <w:tc>
          <w:tcPr>
            <w:tcW w:type="dxa" w:w="3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Écran</w:t>
            </w:r>
          </w:p>
        </w:tc>
        <w:tc>
          <w:tcPr>
            <w:tcW w:type="dxa" w:w="5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 à montrer</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Connexion et tableau de bord</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Page de connexion avec le logo, puis tableau de bord avec au moins une pastille rouge dans le menu.</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Liste des dossiers de tuteurs</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Onglet « À examiner » avec un dossier : diplôme, niveau validé, justificatifs à contrôler.</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Fiche d’un dossier</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Panneau latéral : justificatifs avec « Ouvrir le fichier », « Approuver », « Refuser », puis le bloc « Niveau académique validé » et les boutons de décision.</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Confirmation d’authenticité</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Fenêtre « Approuver : Diplôme » avec le bouton « J’atteste avoir contrôlé ce document ».</w:t>
            </w:r>
          </w:p>
        </w:tc>
      </w:tr>
      <w:tr>
        <w:trPr>
          <w:cantSplit/>
        </w:trPr>
        <w:tc>
          <w:tcPr>
            <w:tcW w:type="dxa" w:w="8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Corps</w:t>
            </w:r>
          </w:p>
        </w:tc>
        <w:tc>
          <w:tcPr>
            <w:tcW w:type="dxa" w:w="3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Examen d’une structure ou d’une salle</w:t>
            </w:r>
          </w:p>
        </w:tc>
        <w:tc>
          <w:tcPr>
            <w:tcW w:type="dxa" w:w="5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Fiche avec statut, justificatifs, offre commerciale et boutons de décision adaptés à l’état.</w:t>
            </w:r>
          </w:p>
        </w:tc>
      </w:tr>
      <w:tr>
        <w:trPr>
          <w:cantSplit/>
        </w:trPr>
        <w:tc>
          <w:tcPr>
            <w:tcW w:type="dxa" w:w="8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Annexe B</w:t>
            </w:r>
          </w:p>
        </w:tc>
        <w:tc>
          <w:tcPr>
            <w:tcW w:type="dxa" w:w="3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Équivalences, offres, utilisateurs, réservations, conflits, avis, plans</w:t>
            </w:r>
          </w:p>
        </w:tc>
        <w:tc>
          <w:tcPr>
            <w:tcW w:type="dxa" w:w="5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Une capture par écran, légendée.</w:t>
            </w:r>
          </w:p>
        </w:tc>
      </w:tr>
    </w:tbl>
    <w:p>
      <w:pPr>
        <w:spacing w:after="120" w:line="288"/>
      </w:pPr>
      <w:r>
        <w:rPr>
          <w:rFonts w:ascii="Arial" w:cs="Arial" w:eastAsia="Arial" w:hAnsi="Arial"/>
          <w:b/>
          <w:bCs/>
          <w:sz w:val="21"/>
          <w:szCs w:val="21"/>
        </w:rPr>
        <w:t xml:space="preserve">Préparer les données. </w:t>
      </w:r>
      <w:r>
        <w:rPr>
          <w:rFonts w:ascii="Arial" w:cs="Arial" w:eastAsia="Arial" w:hAnsi="Arial"/>
          <w:sz w:val="21"/>
          <w:szCs w:val="21"/>
        </w:rPr>
        <w:t xml:space="preserve">Le dossier « À examiner » n’existe que si un tuteur a déposé sa candidature : faites-le depuis l’application mobile (déjà décrit dans le mémoire), avec un justificatif. Pour les structures et les salles, utilisez l’espace du lieu partenaire. Lancez ensuite le backend, puis npm run dev dans eduloc-admin, et connectez-vous avec le compte administrateur créé par le seed.</w:t>
      </w:r>
    </w:p>
    <w:p>
      <w:pPr>
        <w:pStyle w:val="Heading1"/>
        <w:spacing w:after="160" w:before="360"/>
      </w:pPr>
      <w:r>
        <w:rPr>
          <w:rFonts w:ascii="Arial" w:cs="Arial" w:eastAsia="Arial" w:hAnsi="Arial"/>
          <w:b/>
          <w:bCs/>
          <w:color w:val="332E86"/>
          <w:sz w:val="30"/>
          <w:szCs w:val="30"/>
        </w:rPr>
        <w:t xml:space="preserve">4. Contenu des annexes</w:t>
      </w:r>
    </w:p>
    <w:p>
      <w:pPr>
        <w:spacing w:after="120" w:line="288"/>
      </w:pPr>
      <w:r>
        <w:rPr>
          <w:rFonts w:ascii="Arial" w:cs="Arial" w:eastAsia="Arial" w:hAnsi="Arial"/>
          <w:sz w:val="21"/>
          <w:szCs w:val="21"/>
        </w:rPr>
        <w:t xml:space="preserve">Principe : le corps du mémoire contient ce qui est nécessaire pour comprendre le travail ; l’annexe contient les preuves et les références que le jury peut consulter sans qu’elles alourdissent la lecture. Chaque annexe est citée dans le texte (« voir l’annexe B »). Remplacez le texte d’attente par une page « Liste des annexes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4626"/>
      </w:tblGrid>
      <w:tr>
        <w:trPr>
          <w:tblHeader/>
        </w:trPr>
        <w:tc>
          <w:tcPr>
            <w:tcW w:type="dxa" w:w="11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Annexe</w:t>
            </w:r>
          </w:p>
        </w:tc>
        <w:tc>
          <w:tcPr>
            <w:tcW w:type="dxa" w:w="3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Contenu</w:t>
            </w:r>
          </w:p>
        </w:tc>
        <w:tc>
          <w:tcPr>
            <w:tcW w:type="dxa" w:w="46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Pourquoi en annexe</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A</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Matrice des actions de l’administrateur : écran, actions, routes de l’API</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Référence complète des droits d’administration ; appuie la règle de gestion RG 44. Tableau prêt ci-dessous.</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B</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Captures complémentaires du back-office : équivalences, offres, utilisateurs, réservations, conflits, avis, plans, fiche de salle</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Les 5 écrans principaux sont dans le corps ; les autres complètent sans surcharger.</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Extraits de code complémentaires : AdminGuard, reinstateTutor, documentUrl, DecisionBar</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Les deux extraits du corps suffisent à la démonstration ; ceux-ci montrent le reste.</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D</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Scénario de test du back-office : 49 vérifications et résultat</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Preuve du bon fonctionnement. Tableau prêt ci-dessous.</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E</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Rapport d’évaluation du matching (eval/report.md)</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Le corps ne cite que le rappel et le nDCG ; le rapport donne la méthode, les coefficients et la sensibilité.</w:t>
            </w:r>
          </w:p>
        </w:tc>
      </w:tr>
      <w:tr>
        <w:trPr>
          <w:cantSplit/>
        </w:trPr>
        <w:tc>
          <w:tcPr>
            <w:tcW w:type="dxa" w:w="11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F</w:t>
            </w:r>
          </w:p>
        </w:tc>
        <w:tc>
          <w:tcPr>
            <w:tcW w:type="dxa" w:w="3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Fichier .env.example complet</w:t>
            </w:r>
          </w:p>
        </w:tc>
        <w:tc>
          <w:tcPr>
            <w:tcW w:type="dxa" w:w="46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Le tableau 32 est résumé ; le fichier liste toutes les variables, sans aucun secret.</w:t>
            </w:r>
          </w:p>
        </w:tc>
      </w:tr>
      <w:tr>
        <w:trPr>
          <w:cantSplit/>
        </w:trPr>
        <w:tc>
          <w:tcPr>
            <w:tcW w:type="dxa" w:w="11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G</w:t>
            </w:r>
          </w:p>
        </w:tc>
        <w:tc>
          <w:tcPr>
            <w:tcW w:type="dxa" w:w="3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Guide de démarrage rapide : commandes pour lancer le backend, l’application mobile et le back-office</w:t>
            </w:r>
          </w:p>
        </w:tc>
        <w:tc>
          <w:tcPr>
            <w:tcW w:type="dxa" w:w="46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Aide un lecteur à reproduire l’environnement ; évite d’alourdir 6.1.</w:t>
            </w:r>
          </w:p>
        </w:tc>
      </w:tr>
    </w:tbl>
    <w:p>
      <w:pPr>
        <w:spacing w:after="120" w:line="288"/>
      </w:pPr>
      <w:r>
        <w:rPr>
          <w:rFonts w:ascii="Arial" w:cs="Arial" w:eastAsia="Arial" w:hAnsi="Arial"/>
          <w:b/>
          <w:bCs/>
          <w:sz w:val="21"/>
          <w:szCs w:val="21"/>
        </w:rPr>
        <w:t xml:space="preserve">À ne pas mettre : </w:t>
      </w:r>
      <w:r>
        <w:rPr>
          <w:rFonts w:ascii="Arial" w:cs="Arial" w:eastAsia="Arial" w:hAnsi="Arial"/>
          <w:sz w:val="21"/>
          <w:szCs w:val="21"/>
        </w:rPr>
        <w:t xml:space="preserve">aucun mot de passe ni clé (même de développement), aucune donnée réelle d’utilisateur. Le mot « questionnaires » du texte d’attente n’a de sens que si vous avez mené une enquête : sinon, ne l’ajoutez pas.</w:t>
      </w:r>
    </w:p>
    <w:p>
      <w:pPr>
        <w:pStyle w:val="Heading2"/>
        <w:spacing w:after="120" w:before="240"/>
      </w:pPr>
      <w:r>
        <w:rPr>
          <w:rFonts w:ascii="Arial" w:cs="Arial" w:eastAsia="Arial" w:hAnsi="Arial"/>
          <w:b/>
          <w:bCs/>
          <w:color w:val="211C5E"/>
          <w:sz w:val="25"/>
          <w:szCs w:val="25"/>
        </w:rPr>
        <w:t xml:space="preserve">Annexe A : matrice des actions de l’administrateur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126"/>
      </w:tblGrid>
      <w:tr>
        <w:trPr>
          <w:tblHeader/>
        </w:trPr>
        <w:tc>
          <w:tcPr>
            <w:tcW w:type="dxa" w:w="19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Écran</w:t>
            </w:r>
          </w:p>
        </w:tc>
        <w:tc>
          <w:tcPr>
            <w:tcW w:type="dxa" w:w="40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Actions</w:t>
            </w:r>
          </w:p>
        </w:tc>
        <w:tc>
          <w:tcPr>
            <w:tcW w:type="dxa" w:w="31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Routes (préfixe /api)</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Tableau de bord</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File « à traiter », compteurs, réindexation de tous les tuteurs</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/admin/dashboard ; POST /admin/matching/reindex</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Dossiers tuteurs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Ouvrir et approuver ou refuser un justificatif ; valider ou retirer le niveau académique ; appliquer une équivalence ; approuver ou refuser le dossier ; suspendre ou rétablir un tuteur ; réindexer un tuteur</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/admin/tutor-applications ; POST /admin/tutor-applications/:id/(approve | reject | degree-equivalence) ; GET /admin/tutor-documents/:id/url ; POST /admin/tutor-documents/:id/review ; PUT et DELETE /admin/tutors/:id/academic-level ; POST /admin/tutors/:id/(suspend | reinstate | reindex)</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Équivalences de diplômes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Lister, créer, trancher</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et POST /admin/degree-equivalences ; PATCH /admin/degree-equivalences/:id</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Offres de cours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Retirer ou rétablir une offre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/admin/offers ; POST /admin/offers/:id/moderation</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Utilisateurs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Suspendre ou réactiver un compte</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/admin/users ; POST /admin/users/:id/status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Réservations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Consultation seule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/admin/bookings ; GET /admin/partners/reservations</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Conflits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Résoudre avec une note ; classer sans suite</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/admin/conflicts ; POST /admin/conflicts/:id/(resolve | dismiss)</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Structures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Examiner, demander des corrections, valider, refuser, suspendre, désactiver, rétablir ; activer ou annuler l’offre commerciale</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/admin/partners/venues ; POST /admin/partners/venues/:id/review ; POST /admin/partners/venues/:id/subscription/(activate | cancel)</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Salles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Mêmes décisions sauf désactiver ; retirer de la publication ou lever le retrait</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/admin/partners/rooms ; POST /admin/partners/rooms/:id/(review | publication)</w:t>
            </w:r>
          </w:p>
        </w:tc>
      </w:tr>
      <w:tr>
        <w:trPr>
          <w:cantSplit/>
        </w:trPr>
        <w:tc>
          <w:tcPr>
            <w:tcW w:type="dxa" w:w="19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Avis sur les salles</w:t>
            </w:r>
          </w:p>
        </w:tc>
        <w:tc>
          <w:tcPr>
            <w:tcW w:type="dxa" w:w="40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Masquer avec un motif ; rétablir</w:t>
            </w:r>
          </w:p>
        </w:tc>
        <w:tc>
          <w:tcPr>
            <w:tcW w:type="dxa" w:w="31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/admin/partners/room-reviews ; POST /admin/partners/room-reviews/:id/(hide | unhide)</w:t>
            </w:r>
          </w:p>
        </w:tc>
      </w:tr>
      <w:tr>
        <w:trPr>
          <w:cantSplit/>
        </w:trPr>
        <w:tc>
          <w:tcPr>
            <w:tcW w:type="dxa" w:w="19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Offres commerciales</w:t>
            </w:r>
          </w:p>
        </w:tc>
        <w:tc>
          <w:tcPr>
            <w:tcW w:type="dxa" w:w="40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Créer et modifier les plans</w:t>
            </w:r>
          </w:p>
        </w:tc>
        <w:tc>
          <w:tcPr>
            <w:tcW w:type="dxa" w:w="31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GET et POST /admin/partners/plans ; PATCH /admin/partners/plans/:id</w:t>
            </w:r>
          </w:p>
        </w:tc>
      </w:tr>
    </w:tbl>
    <w:p>
      <w:pPr>
        <w:spacing w:after="80"/>
      </w:pPr>
    </w:p>
    <w:p>
      <w:pPr>
        <w:spacing w:after="120" w:line="288"/>
      </w:pPr>
      <w:r>
        <w:rPr>
          <w:rFonts w:ascii="Arial" w:cs="Arial" w:eastAsia="Arial" w:hAnsi="Arial"/>
          <w:b/>
          <w:bCs/>
          <w:sz w:val="21"/>
          <w:szCs w:val="21"/>
        </w:rPr>
        <w:t xml:space="preserve">Ce que l’administrateur ne fait pas : </w:t>
      </w:r>
      <w:r>
        <w:rPr>
          <w:rFonts w:ascii="Arial" w:cs="Arial" w:eastAsia="Arial" w:hAnsi="Arial"/>
          <w:sz w:val="21"/>
          <w:szCs w:val="21"/>
        </w:rPr>
        <w:t xml:space="preserve">changer le rôle d’un utilisateur, modifier le statut d’une réservation, modifier un profil ou une offre. L’API ne le prévoit pas, et le back-office ne le propose donc pas.</w:t>
      </w:r>
    </w:p>
    <w:p>
      <w:pPr>
        <w:pStyle w:val="Heading2"/>
        <w:spacing w:after="120" w:before="240"/>
      </w:pPr>
      <w:r>
        <w:rPr>
          <w:rFonts w:ascii="Arial" w:cs="Arial" w:eastAsia="Arial" w:hAnsi="Arial"/>
          <w:b/>
          <w:bCs/>
          <w:color w:val="211C5E"/>
          <w:sz w:val="25"/>
          <w:szCs w:val="25"/>
        </w:rPr>
        <w:t xml:space="preserve">Annexe D : scénario de test du back-office</w:t>
      </w:r>
    </w:p>
    <w:p>
      <w:pPr>
        <w:spacing w:after="120" w:line="288"/>
      </w:pPr>
      <w:r>
        <w:rPr>
          <w:rFonts w:ascii="Arial" w:cs="Arial" w:eastAsia="Arial" w:hAnsi="Arial"/>
          <w:sz w:val="21"/>
          <w:szCs w:val="21"/>
        </w:rPr>
        <w:t xml:space="preserve">Résultat de l’exécution du 26 octobre 2026 : 49 vérifications réussies sur 49, contre une API démarrée sur une base PostgreSQL jetable.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tblHeader/>
        </w:trPr>
        <w:tc>
          <w:tcPr>
            <w:tcW w:type="dxa" w:w="2300"/>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Groupe</w:t>
            </w:r>
          </w:p>
        </w:tc>
        <w:tc>
          <w:tcPr>
            <w:tcW w:type="dxa" w:w="6726"/>
            <w:tcBorders>
              <w:top w:val="single" w:color="C9C9D6" w:sz="4"/>
              <w:left w:val="single" w:color="C9C9D6" w:sz="4"/>
              <w:bottom w:val="single" w:color="C9C9D6" w:sz="4"/>
              <w:right w:val="single" w:color="C9C9D6" w:sz="4"/>
            </w:tcBorders>
            <w:shd w:fill="332E86" w:val="clear"/>
            <w:tcMar>
              <w:top w:type="dxa" w:w="70"/>
              <w:left w:type="dxa" w:w="100"/>
              <w:bottom w:type="dxa" w:w="70"/>
              <w:right w:type="dxa" w:w="100"/>
            </w:tcMar>
          </w:tcPr>
          <w:p>
            <w:pPr>
              <w:spacing w:after="40"/>
            </w:pPr>
            <w:r>
              <w:rPr>
                <w:rFonts w:ascii="Arial" w:cs="Arial" w:eastAsia="Arial" w:hAnsi="Arial"/>
                <w:b/>
                <w:bCs/>
                <w:color w:val="FFFFFF"/>
                <w:sz w:val="18"/>
                <w:szCs w:val="18"/>
              </w:rPr>
              <w:t xml:space="preserve">Vérifications</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Connexion et session</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Mauvais mot de passe refusé ; connexion de l’administrateur ; compte ordinaire refusé par le back-office ; session conservée ; jeton expiré renouvelé automatiquement ; déconnexion qui efface les jetons.</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Tableau de bord</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Un dossier en attente est compté.</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Dossier d’un tuteur</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Dossier listé avec expériences et justificatifs ; mention de ce que vaut chaque approbation ; lien de lecture du justificatif ; approbation d’un diplôme refusée sans attestation ; statuts des justificatifs mis à jour ; niveaux du catalogue ; équivalence créée puis proposée sur le dossier puis appliquée (plus haut diplôme et niveau validé mis à jour) ; niveau modifié ; niveau Doctorat refusé sans justification ; validation retirée ; dossier approuvé ; seconde approbation refusée.</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Offres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Offre retrouvée par recherche ; offre retirée ; offre rétablie.</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Réservations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Réservation listée avec noms et montants ; filtre par statut.</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Suspension et conflits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Suspension avec une séance à venir signalée ; conflit « tuteur suspendu » ouvert ; conflit compté dans la réservation ; conflit résolu avec note et auteur ; tuteur suspendu visible ; réindexation d’un tuteur.</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Utilisateurs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Utilisateur retrouvé par recherche ; compte suspendu.</w:t>
            </w:r>
          </w:p>
        </w:tc>
      </w:tr>
      <w:tr>
        <w:trPr>
          <w:cantSplit/>
        </w:trPr>
        <w:tc>
          <w:tcPr>
            <w:tcW w:type="dxa" w:w="2300"/>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bCs/>
                <w:sz w:val="18"/>
                <w:szCs w:val="18"/>
              </w:rPr>
              <w:t xml:space="preserve">Lieux partenaires</w:t>
            </w:r>
          </w:p>
        </w:tc>
        <w:tc>
          <w:tcPr>
            <w:tcW w:type="dxa" w:w="6726"/>
            <w:tcBorders>
              <w:top w:val="single" w:color="C9C9D6" w:sz="4"/>
              <w:left w:val="single" w:color="C9C9D6" w:sz="4"/>
              <w:bottom w:val="single" w:color="C9C9D6" w:sz="4"/>
              <w:right w:val="single" w:color="C9C9D6" w:sz="4"/>
            </w:tcBorders>
            <w:shd w:fill="F7F7FA" w:val="clear"/>
            <w:tcMar>
              <w:top w:type="dxa" w:w="70"/>
              <w:left w:type="dxa" w:w="100"/>
              <w:bottom w:type="dxa" w:w="70"/>
              <w:right w:type="dxa" w:w="100"/>
            </w:tcMar>
          </w:tcPr>
          <w:p>
            <w:pPr>
              <w:spacing w:after="40"/>
            </w:pPr>
            <w:r>
              <w:rPr>
                <w:rFonts w:ascii="Arial" w:cs="Arial" w:eastAsia="Arial" w:hAnsi="Arial"/>
                <w:b w:val="false"/>
                <w:bCs w:val="false"/>
                <w:sz w:val="18"/>
                <w:szCs w:val="18"/>
              </w:rPr>
              <w:t xml:space="preserve">Structure soumise listée ; fiche avec justificatif et offre non choisie ; refus sans motif refusé ; structure validée ; fiche de salle avec adresse exacte, non réservable ; salle validée ; salle retirée de la publication puis retrait levé ; salle suspendue ; historique des décisions ; salle listée par statut ; réservations de salle et avis (listes vides, forme correcte).</w:t>
            </w:r>
          </w:p>
        </w:tc>
      </w:tr>
      <w:tr>
        <w:trPr>
          <w:cantSplit/>
        </w:trPr>
        <w:tc>
          <w:tcPr>
            <w:tcW w:type="dxa" w:w="2300"/>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bCs/>
                <w:sz w:val="18"/>
                <w:szCs w:val="18"/>
              </w:rPr>
              <w:t xml:space="preserve">Plans</w:t>
            </w:r>
          </w:p>
        </w:tc>
        <w:tc>
          <w:tcPr>
            <w:tcW w:type="dxa" w:w="6726"/>
            <w:tcBorders>
              <w:top w:val="single" w:color="C9C9D6" w:sz="4"/>
              <w:left w:val="single" w:color="C9C9D6" w:sz="4"/>
              <w:bottom w:val="single" w:color="C9C9D6" w:sz="4"/>
              <w:right w:val="single" w:color="C9C9D6" w:sz="4"/>
            </w:tcBorders>
            <w:tcMar>
              <w:top w:type="dxa" w:w="70"/>
              <w:left w:type="dxa" w:w="100"/>
              <w:bottom w:type="dxa" w:w="70"/>
              <w:right w:type="dxa" w:w="100"/>
            </w:tcMar>
          </w:tcPr>
          <w:p>
            <w:pPr>
              <w:spacing w:after="40"/>
            </w:pPr>
            <w:r>
              <w:rPr>
                <w:rFonts w:ascii="Arial" w:cs="Arial" w:eastAsia="Arial" w:hAnsi="Arial"/>
                <w:b w:val="false"/>
                <w:bCs w:val="false"/>
                <w:sz w:val="18"/>
                <w:szCs w:val="18"/>
              </w:rPr>
              <w:t xml:space="preserve">Plan créé ; plan modifié.</w:t>
            </w:r>
          </w:p>
        </w:tc>
      </w:tr>
    </w:tbl>
    <w:p>
      <w:pPr>
        <w:spacing w:after="80"/>
      </w:pPr>
    </w:p>
    <w:p>
      <w:pPr>
        <w:spacing w:after="120" w:line="288"/>
      </w:pPr>
      <w:r>
        <w:rPr>
          <w:rFonts w:ascii="Arial" w:cs="Arial" w:eastAsia="Arial" w:hAnsi="Arial"/>
          <w:b/>
          <w:bCs/>
          <w:sz w:val="21"/>
          <w:szCs w:val="21"/>
        </w:rPr>
        <w:t xml:space="preserve">Limite à signaler honnêtement dans le mémoire : </w:t>
      </w:r>
      <w:r>
        <w:rPr>
          <w:rFonts w:ascii="Arial" w:cs="Arial" w:eastAsia="Arial" w:hAnsi="Arial"/>
          <w:sz w:val="21"/>
          <w:szCs w:val="21"/>
        </w:rPr>
        <w:t xml:space="preserve">ces vérifications portent sur le client et l’API. Le rendu visuel des écrans n’est pas testé automatiquement ; les captures du chapitre en tiennent lieu.</w:t>
      </w:r>
    </w:p>
    <w:p>
      <w:pPr>
        <w:pStyle w:val="Heading1"/>
        <w:spacing w:after="160" w:before="360"/>
      </w:pPr>
      <w:r>
        <w:rPr>
          <w:rFonts w:ascii="Arial" w:cs="Arial" w:eastAsia="Arial" w:hAnsi="Arial"/>
          <w:b/>
          <w:bCs/>
          <w:color w:val="332E86"/>
          <w:sz w:val="30"/>
          <w:szCs w:val="30"/>
        </w:rPr>
        <w:t xml:space="preserve">5. Ordre de travail conseillé</w:t>
      </w:r>
    </w:p>
    <w:p>
      <w:pPr>
        <w:pStyle w:val="ListParagraph"/>
        <w:numPr>
          <w:ilvl w:val="0"/>
          <w:numId w:val="2"/>
        </w:numPr>
        <w:spacing w:after="60" w:line="276"/>
      </w:pPr>
      <w:r>
        <w:rPr>
          <w:rFonts w:ascii="Arial" w:cs="Arial" w:eastAsia="Arial" w:hAnsi="Arial"/>
          <w:sz w:val="21"/>
          <w:szCs w:val="21"/>
        </w:rPr>
        <w:t xml:space="preserve">1. Corriger les chiffres de tests (140) et le tableau 36, remplacer la figure 44, nettoyer l’annexe.</w:t>
      </w:r>
    </w:p>
    <w:p>
      <w:pPr>
        <w:pStyle w:val="ListParagraph"/>
        <w:numPr>
          <w:ilvl w:val="0"/>
          <w:numId w:val="2"/>
        </w:numPr>
        <w:spacing w:after="60" w:line="276"/>
      </w:pPr>
      <w:r>
        <w:rPr>
          <w:rFonts w:ascii="Arial" w:cs="Arial" w:eastAsia="Arial" w:hAnsi="Arial"/>
          <w:sz w:val="21"/>
          <w:szCs w:val="21"/>
        </w:rPr>
        <w:t xml:space="preserve">2. Ajouter les sous-sections 3.1, 3.3, 3.4 et la section 3.5 ; compléter les tableaux 7, 9, 21 et la ligne du sprint 7.</w:t>
      </w:r>
    </w:p>
    <w:p>
      <w:pPr>
        <w:pStyle w:val="ListParagraph"/>
        <w:numPr>
          <w:ilvl w:val="0"/>
          <w:numId w:val="2"/>
        </w:numPr>
        <w:spacing w:after="60" w:line="276"/>
      </w:pPr>
      <w:r>
        <w:rPr>
          <w:rFonts w:ascii="Arial" w:cs="Arial" w:eastAsia="Arial" w:hAnsi="Arial"/>
          <w:sz w:val="21"/>
          <w:szCs w:val="21"/>
        </w:rPr>
        <w:t xml:space="preserve">3. Faire les captures du back-office et les 2 extraits de code ; refaire la figure 24.</w:t>
      </w:r>
    </w:p>
    <w:p>
      <w:pPr>
        <w:pStyle w:val="ListParagraph"/>
        <w:numPr>
          <w:ilvl w:val="0"/>
          <w:numId w:val="2"/>
        </w:numPr>
        <w:spacing w:after="60" w:line="276"/>
      </w:pPr>
      <w:r>
        <w:rPr>
          <w:rFonts w:ascii="Arial" w:cs="Arial" w:eastAsia="Arial" w:hAnsi="Arial"/>
          <w:sz w:val="21"/>
          <w:szCs w:val="21"/>
        </w:rPr>
        <w:t xml:space="preserve">4. Constituer les annexes A à G.</w:t>
      </w:r>
    </w:p>
    <w:p>
      <w:pPr>
        <w:pStyle w:val="ListParagraph"/>
        <w:numPr>
          <w:ilvl w:val="0"/>
          <w:numId w:val="2"/>
        </w:numPr>
        <w:spacing w:after="60" w:line="276"/>
      </w:pPr>
      <w:r>
        <w:rPr>
          <w:rFonts w:ascii="Arial" w:cs="Arial" w:eastAsia="Arial" w:hAnsi="Arial"/>
          <w:sz w:val="21"/>
          <w:szCs w:val="21"/>
        </w:rPr>
        <w:t xml:space="preserve">5. En dernier : corriger tous les renvois (§2.3), puis mettre à jour la table des matières, la liste des figures et la liste des tableaux (clic droit &gt; Mettre à jour le champ).</w:t>
      </w:r>
    </w:p>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r>
    <w:r>
      <w:rPr>
        <w:rFonts w:ascii="Arial" w:cs="Arial" w:eastAsia="Arial" w:hAnsi="Arial"/>
        <w:color w:val="888888"/>
        <w:sz w:val="16"/>
        <w:szCs w:val="16"/>
      </w:rPr>
      <w:instrText xml:space="preserve">PAGE</w:instrText>
    </w:r>
    <w:r>
      <w:rPr>
        <w:rFonts w:ascii="Arial" w:cs="Arial" w:eastAsia="Arial" w:hAnsi="Arial"/>
        <w:color w:val="888888"/>
        <w:sz w:val="16"/>
        <w:szCs w:val="16"/>
      </w:rPr>
      <w:fldChar w:fldCharType="separate"/>
    </w:r>
    <w:r>
      <w:rPr>
        <w:rFonts w:ascii="Arial" w:cs="Arial" w:eastAsia="Arial" w:hAnsi="Arial"/>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Propositions pour le mémoire EduLoc : back-office et annexes</dc:title>
  <dc:creator>EduLoc</dc:creator>
  <cp:lastModifiedBy>Un-named</cp:lastModifiedBy>
  <cp:revision>1</cp:revision>
  <dcterms:created xsi:type="dcterms:W3CDTF">2026-10-27T08:12:22.792Z</dcterms:created>
  <dcterms:modified xsi:type="dcterms:W3CDTF">2026-10-27T08:12:22.792Z</dcterms:modified>
</cp:coreProperties>
</file>

<file path=docProps/custom.xml><?xml version="1.0" encoding="utf-8"?>
<Properties xmlns="http://schemas.openxmlformats.org/officeDocument/2006/custom-properties" xmlns:vt="http://schemas.openxmlformats.org/officeDocument/2006/docPropsVTypes"/>
</file>