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332E86"/>
          <w:sz w:val="40"/>
          <w:szCs w:val="40"/>
        </w:rPr>
        <w:t xml:space="preserve">Mémoire EduLoc</w:t>
      </w:r>
    </w:p>
    <w:p>
      <w:pPr>
        <w:spacing w:after="200"/>
      </w:pPr>
      <w:r>
        <w:rPr>
          <w:rFonts w:ascii="Arial" w:cs="Arial" w:eastAsia="Arial" w:hAnsi="Arial"/>
          <w:color w:val="555566"/>
          <w:sz w:val="26"/>
          <w:szCs w:val="26"/>
        </w:rPr>
        <w:t xml:space="preserve">Vérification de la partie Réalisation, présentation du back-office et contenu des annexes</w:t>
      </w:r>
    </w:p>
    <w:p>
      <w:pPr>
        <w:spacing w:after="120" w:line="288"/>
      </w:pPr>
      <w:r>
        <w:rPr>
          <w:rFonts w:ascii="Arial" w:cs="Arial" w:eastAsia="Arial" w:hAnsi="Arial"/>
          <w:sz w:val="21"/>
          <w:szCs w:val="21"/>
        </w:rPr>
        <w:t xml:space="preserve">Document de travail pour </w:t>
      </w:r>
      <w:r>
        <w:rPr>
          <w:rFonts w:ascii="Arial" w:cs="Arial" w:eastAsia="Arial" w:hAnsi="Arial"/>
          <w:b/>
          <w:bCs/>
          <w:sz w:val="21"/>
          <w:szCs w:val="21"/>
        </w:rPr>
        <w:t xml:space="preserve">Memoire REDACTION edUloc.docx</w:t>
      </w:r>
      <w:r>
        <w:rPr>
          <w:rFonts w:ascii="Arial" w:cs="Arial" w:eastAsia="Arial" w:hAnsi="Arial"/>
          <w:sz w:val="21"/>
          <w:szCs w:val="21"/>
        </w:rPr>
        <w:t xml:space="preserve"> (version du 27 octobre 2026). Aucune modification n’a été faite dans votre mémoire : ce document propose les corrections, le texte à ajouter et le plan des annexes. Les encadrés violets sont du texte prêt à coller.</w:t>
      </w:r>
    </w:p>
    <w:p>
      <w:pPr>
        <w:pStyle w:val="Heading1"/>
        <w:spacing w:after="160" w:before="360"/>
      </w:pPr>
      <w:r>
        <w:rPr>
          <w:rFonts w:ascii="Arial" w:cs="Arial" w:eastAsia="Arial" w:hAnsi="Arial"/>
          <w:b/>
          <w:bCs/>
          <w:color w:val="332E86"/>
          <w:sz w:val="30"/>
          <w:szCs w:val="30"/>
        </w:rPr>
        <w:t xml:space="preserve">1. En bref</w:t>
      </w:r>
    </w:p>
    <w:p>
      <w:pPr>
        <w:pStyle w:val="ListParagraph"/>
        <w:numPr>
          <w:ilvl w:val="0"/>
          <w:numId w:val="2"/>
        </w:numPr>
        <w:spacing w:after="60" w:line="276"/>
      </w:pPr>
      <w:r>
        <w:rPr>
          <w:rFonts w:ascii="Arial" w:cs="Arial" w:eastAsia="Arial" w:hAnsi="Arial"/>
          <w:b/>
          <w:bCs/>
          <w:sz w:val="21"/>
          <w:szCs w:val="21"/>
        </w:rPr>
        <w:t xml:space="preserve">Le back-office n’apparaît nulle part dans la Réalisation. </w:t>
      </w:r>
      <w:r>
        <w:rPr>
          <w:rFonts w:ascii="Arial" w:cs="Arial" w:eastAsia="Arial" w:hAnsi="Arial"/>
          <w:sz w:val="21"/>
          <w:szCs w:val="21"/>
        </w:rPr>
        <w:t xml:space="preserve">Le mémoire décrit trois modes d’utilisation de l’application mobile (demandeur, tuteur, lieu partenaire) et une architecture à un seul client. L’administrateur est pourtant un acteur central (tableau des acteurs, US20 à US22, PB13, sprint 7).</w:t>
      </w:r>
    </w:p>
    <w:p>
      <w:pPr>
        <w:pStyle w:val="ListParagraph"/>
        <w:numPr>
          <w:ilvl w:val="0"/>
          <w:numId w:val="2"/>
        </w:numPr>
        <w:spacing w:after="60" w:line="276"/>
      </w:pPr>
      <w:r>
        <w:rPr>
          <w:rFonts w:ascii="Arial" w:cs="Arial" w:eastAsia="Arial" w:hAnsi="Arial"/>
          <w:b/>
          <w:bCs/>
          <w:sz w:val="21"/>
          <w:szCs w:val="21"/>
        </w:rPr>
        <w:t xml:space="preserve">Le reste de la Réalisation est exact </w:t>
      </w:r>
      <w:r>
        <w:rPr>
          <w:rFonts w:ascii="Arial" w:cs="Arial" w:eastAsia="Arial" w:hAnsi="Arial"/>
          <w:sz w:val="21"/>
          <w:szCs w:val="21"/>
        </w:rPr>
        <w:t xml:space="preserve">sur les versions, les services Docker, les 17 migrations et les mesures du matching, avec une exception : le nombre de tests d’intégration (140 aujourd’hui, pas 128).</w:t>
      </w:r>
    </w:p>
    <w:p>
      <w:pPr>
        <w:pStyle w:val="ListParagraph"/>
        <w:numPr>
          <w:ilvl w:val="0"/>
          <w:numId w:val="2"/>
        </w:numPr>
        <w:spacing w:after="60" w:line="276"/>
      </w:pPr>
      <w:r>
        <w:rPr>
          <w:rFonts w:ascii="Arial" w:cs="Arial" w:eastAsia="Arial" w:hAnsi="Arial"/>
          <w:b/>
          <w:bCs/>
          <w:sz w:val="21"/>
          <w:szCs w:val="21"/>
        </w:rPr>
        <w:t xml:space="preserve">Les renvois « tableau N » et « figure N » du texte sont décalés </w:t>
      </w:r>
      <w:r>
        <w:rPr>
          <w:rFonts w:ascii="Arial" w:cs="Arial" w:eastAsia="Arial" w:hAnsi="Arial"/>
          <w:sz w:val="21"/>
          <w:szCs w:val="21"/>
        </w:rPr>
        <w:t xml:space="preserve">(les légendes sont automatiques, les renvois sont tapés à la main). À corriger en dernier, une fois les ajouts faits.</w:t>
      </w:r>
    </w:p>
    <w:p>
      <w:pPr>
        <w:pStyle w:val="ListParagraph"/>
        <w:numPr>
          <w:ilvl w:val="0"/>
          <w:numId w:val="2"/>
        </w:numPr>
        <w:spacing w:after="60" w:line="276"/>
      </w:pPr>
      <w:r>
        <w:rPr>
          <w:rFonts w:ascii="Arial" w:cs="Arial" w:eastAsia="Arial" w:hAnsi="Arial"/>
          <w:b/>
          <w:bCs/>
          <w:sz w:val="21"/>
          <w:szCs w:val="21"/>
        </w:rPr>
        <w:t xml:space="preserve">Pour le back-office, il faut : </w:t>
      </w:r>
      <w:r>
        <w:rPr>
          <w:rFonts w:ascii="Arial" w:cs="Arial" w:eastAsia="Arial" w:hAnsi="Arial"/>
          <w:sz w:val="21"/>
          <w:szCs w:val="21"/>
        </w:rPr>
        <w:t xml:space="preserve">une sous-section d’installation, une ligne dans l’architecture, une sous-section de codage, une section de présentation (5 captures) et une ligne dans les tests. Les captures et extraits secondaires vont en annexe.</w:t>
      </w:r>
    </w:p>
    <w:p>
      <w:pPr>
        <w:pStyle w:val="Heading1"/>
        <w:spacing w:after="160" w:before="360"/>
      </w:pPr>
      <w:r>
        <w:rPr>
          <w:rFonts w:ascii="Arial" w:cs="Arial" w:eastAsia="Arial" w:hAnsi="Arial"/>
          <w:b/>
          <w:bCs/>
          <w:color w:val="332E86"/>
          <w:sz w:val="30"/>
          <w:szCs w:val="30"/>
        </w:rPr>
        <w:t xml:space="preserve">2. Vérification de la partie Réalisation</w:t>
      </w:r>
    </w:p>
    <w:p>
      <w:pPr>
        <w:pStyle w:val="Heading2"/>
        <w:spacing w:after="120" w:before="240"/>
      </w:pPr>
      <w:r>
        <w:rPr>
          <w:rFonts w:ascii="Arial" w:cs="Arial" w:eastAsia="Arial" w:hAnsi="Arial"/>
          <w:b/>
          <w:bCs/>
          <w:color w:val="211C5E"/>
          <w:sz w:val="25"/>
          <w:szCs w:val="25"/>
        </w:rPr>
        <w:t xml:space="preserve">2.1 Ce qui est exact (contrôlé dans le dépôt)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Affirmation du mémoire</w:t>
            </w:r>
          </w:p>
        </w:tc>
        <w:tc>
          <w:tcPr>
            <w:tcW w:type="dxa" w:w="61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Constat</w:t>
            </w:r>
          </w:p>
        </w:tc>
      </w:tr>
      <w:tr>
        <w:trPr>
          <w:cantSplit/>
        </w:trPr>
        <w:tc>
          <w:tcPr>
            <w:tcW w:type="dxa" w:w="2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NestJS 10.4.15, React Native 0.86.3, Expo 57</w:t>
            </w:r>
          </w:p>
        </w:tc>
        <w:tc>
          <w:tcPr>
            <w:tcW w:type="dxa" w:w="6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Conforme à package.json (NestJS ^10.4.15, react-native 0.86.3, expo ~57.0).</w:t>
            </w:r>
          </w:p>
        </w:tc>
      </w:tr>
      <w:tr>
        <w:trPr>
          <w:cantSplit/>
        </w:trPr>
        <w:tc>
          <w:tcPr>
            <w:tcW w:type="dxa" w:w="2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Image Docker de l’API : Node 22 Alpine, deux étapes</w:t>
            </w:r>
          </w:p>
        </w:tc>
        <w:tc>
          <w:tcPr>
            <w:tcW w:type="dxa" w:w="6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Conforme (Dockerfile : FROM node:22-alpine en builder et runtime).</w:t>
            </w:r>
          </w:p>
        </w:tc>
      </w:tr>
      <w:tr>
        <w:trPr>
          <w:cantSplit/>
        </w:trPr>
        <w:tc>
          <w:tcPr>
            <w:tcW w:type="dxa" w:w="2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Services Docker Compose (tableau 31)</w:t>
            </w:r>
          </w:p>
        </w:tc>
        <w:tc>
          <w:tcPr>
            <w:tcW w:type="dxa" w:w="6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Conforme : db, pgadmin, redis, centrifugo, livekit, api, ollama (0.40.4-rc1), ollama-init, ollama-init-cv, paddleocr.</w:t>
            </w:r>
          </w:p>
        </w:tc>
      </w:tr>
      <w:tr>
        <w:trPr>
          <w:cantSplit/>
        </w:trPr>
        <w:tc>
          <w:tcPr>
            <w:tcW w:type="dxa" w:w="2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17 migrations (tableau 34)</w:t>
            </w:r>
          </w:p>
        </w:tc>
        <w:tc>
          <w:tcPr>
            <w:tcW w:type="dxa" w:w="6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Conforme : 17 dossiers dans prisma/migrations, regroupés en 16 lignes (cv_import et cv_import_progress sur la même ligne).</w:t>
            </w:r>
          </w:p>
        </w:tc>
      </w:tr>
      <w:tr>
        <w:trPr>
          <w:cantSplit/>
        </w:trPr>
        <w:tc>
          <w:tcPr>
            <w:tcW w:type="dxa" w:w="2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Seuil de similarité 0,65 ; 41 demandes et 29 tuteurs d’évaluation</w:t>
            </w:r>
          </w:p>
        </w:tc>
        <w:tc>
          <w:tcPr>
            <w:tcW w:type="dxa" w:w="6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Conforme (eval/report.md : recall@10 = 0,992 et nDCG@10 = 0,975).</w:t>
            </w:r>
          </w:p>
        </w:tc>
      </w:tr>
      <w:tr>
        <w:trPr>
          <w:cantSplit/>
        </w:trPr>
        <w:tc>
          <w:tcPr>
            <w:tcW w:type="dxa" w:w="2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214 tests unitaires</w:t>
            </w:r>
          </w:p>
        </w:tc>
        <w:tc>
          <w:tcPr>
            <w:tcW w:type="dxa" w:w="6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Conforme : npm test du 27/10/2026, 214 réussis, 0 échec.</w:t>
            </w:r>
          </w:p>
        </w:tc>
      </w:tr>
    </w:tbl>
    <w:p>
      <w:pPr>
        <w:spacing w:after="80"/>
      </w:pPr>
    </w:p>
    <w:p>
      <w:pPr>
        <w:pStyle w:val="Heading2"/>
        <w:spacing w:after="120" w:before="240"/>
      </w:pPr>
      <w:r>
        <w:rPr>
          <w:rFonts w:ascii="Arial" w:cs="Arial" w:eastAsia="Arial" w:hAnsi="Arial"/>
          <w:b/>
          <w:bCs/>
          <w:color w:val="211C5E"/>
          <w:sz w:val="25"/>
          <w:szCs w:val="25"/>
        </w:rPr>
        <w:t xml:space="preserve">2.2 Ce qu’il faut corriger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Emplacement</w:t>
            </w:r>
          </w:p>
        </w:tc>
        <w:tc>
          <w:tcPr>
            <w:tcW w:type="dxa" w:w="37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Constat</w:t>
            </w:r>
          </w:p>
        </w:tc>
        <w:tc>
          <w:tcPr>
            <w:tcW w:type="dxa" w:w="34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Correction proposée</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Tests : « 214 unitaires et 128 d’intégration »</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npm run test:int du 27/10/2026 sur base jetable : 140 tests réussis, 0 échec (35 suites).</w:t>
            </w:r>
          </w:p>
        </w:tc>
        <w:tc>
          <w:tcPr>
            <w:tcW w:type="dxa" w:w="34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Écrire « 214 tests unitaires et 140 tests d’intégration ». Mettre la date du passage.</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Tableau 36, ligne « Scénarios de bout en bout »</w:t>
            </w:r>
          </w:p>
        </w:tc>
        <w:tc>
          <w:tcPr>
            <w:tcW w:type="dxa" w:w="37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Il cite scripts/*-e2e.ts, mais le dossier scripts du backend ne contient que e2e.mjs (parcours demandeur et tuteur) et try-matching.mjs.</w:t>
            </w:r>
          </w:p>
        </w:tc>
        <w:tc>
          <w:tcPr>
            <w:tcW w:type="dxa" w:w="34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Citer les fichiers réellement présents : le script du back-office existe désormais (scripts/admin-e2e.ts, commande npm run e2e:admin).</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6.1 « Poste de développement »</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 Le projet comporte deux dépôts de code ».</w:t>
            </w:r>
          </w:p>
        </w:tc>
        <w:tc>
          <w:tcPr>
            <w:tcW w:type="dxa" w:w="34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Trois dépôts : backend, application mobile et back-office (dossier eduloc-admin).</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Tableaux 7 et 9 (moyens logiciels)</w:t>
            </w:r>
          </w:p>
        </w:tc>
        <w:tc>
          <w:tcPr>
            <w:tcW w:type="dxa" w:w="37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Aucune technologie du back-office.</w:t>
            </w:r>
          </w:p>
        </w:tc>
        <w:tc>
          <w:tcPr>
            <w:tcW w:type="dxa" w:w="34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Ajouter React 19, Vite 6, Tailwind CSS 4 et lucide-react (icônes), avec leur utilité.</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Architecture : paragraphe d’introduction, tableau 33, figure 24, paragraphe de sécurité</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Un seul client (« premier niveau de présentation : l’application mobile »).</w:t>
            </w:r>
          </w:p>
        </w:tc>
        <w:tc>
          <w:tcPr>
            <w:tcW w:type="dxa" w:w="34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Ajouter le back-office comme second client : voir §3.2.</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Présentation de l’application</w:t>
            </w:r>
          </w:p>
        </w:tc>
        <w:tc>
          <w:tcPr>
            <w:tcW w:type="dxa" w:w="37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Introduction : « trois modes d’utilisation » ; aucune section pour l’administrateur.</w:t>
            </w:r>
          </w:p>
        </w:tc>
        <w:tc>
          <w:tcPr>
            <w:tcW w:type="dxa" w:w="34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Ajouter la section « Espace de l’administrateur » : voir §3.5.</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Tableau 21 (acteurs), ligne Administrateur</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Ne mentionne pas la levée de suspension, l’activation ou l’annulation de l’offre commerciale, la gestion des plans.</w:t>
            </w:r>
          </w:p>
        </w:tc>
        <w:tc>
          <w:tcPr>
            <w:tcW w:type="dxa" w:w="34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Compléter la ligne avec ces actions.</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Tableau de planification des sprints, sprint 7, ligne « Espace d’administration : utilisateurs, offres, conflits, réindexation »</w:t>
            </w:r>
          </w:p>
        </w:tc>
        <w:tc>
          <w:tcPr>
            <w:tcW w:type="dxa" w:w="37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Décrit l’espace d’administration sans dire qu’il s’agit d’une application web.</w:t>
            </w:r>
          </w:p>
        </w:tc>
        <w:tc>
          <w:tcPr>
            <w:tcW w:type="dxa" w:w="34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Reformuler : « Back-office web d’administration : dossiers tuteurs, offres, utilisateurs, conflits, lieux partenaires, réindexation ».</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Figure 44</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Le texte de remplacement « [ Insérer ici la capture : code de la séance (session-otp-screen)… ] » est resté à la place de l’image.</w:t>
            </w:r>
          </w:p>
        </w:tc>
        <w:tc>
          <w:tcPr>
            <w:tcW w:type="dxa" w:w="34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Insérer la capture, ou supprimer la figure.</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Conclusion et résumé</w:t>
            </w:r>
          </w:p>
        </w:tc>
        <w:tc>
          <w:tcPr>
            <w:tcW w:type="dxa" w:w="37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Citent React Native / Expo et NestJS seulement.</w:t>
            </w:r>
          </w:p>
        </w:tc>
        <w:tc>
          <w:tcPr>
            <w:tcW w:type="dxa" w:w="34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Ajouter « et d’un back-office web (React) destiné à l’administration ».</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Après le titre « Annexes »</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Le texte « [Documents complémentaires : maquettes, extraits de code, questionnaires, etc.] » et un « TABLE DES MATIERES. » isolé.</w:t>
            </w:r>
          </w:p>
        </w:tc>
        <w:tc>
          <w:tcPr>
            <w:tcW w:type="dxa" w:w="34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Remplacer par les annexes (§4). Vérifier que « TABLE DES MATIERES. » n’est pas un reste à supprimer.</w:t>
            </w:r>
          </w:p>
        </w:tc>
      </w:tr>
    </w:tbl>
    <w:p>
      <w:pPr>
        <w:spacing w:after="80"/>
      </w:pPr>
    </w:p>
    <w:p>
      <w:pPr>
        <w:pStyle w:val="Heading2"/>
        <w:spacing w:after="120" w:before="240"/>
      </w:pPr>
      <w:r>
        <w:rPr>
          <w:rFonts w:ascii="Arial" w:cs="Arial" w:eastAsia="Arial" w:hAnsi="Arial"/>
          <w:b/>
          <w:bCs/>
          <w:color w:val="211C5E"/>
          <w:sz w:val="25"/>
          <w:szCs w:val="25"/>
        </w:rPr>
        <w:t xml:space="preserve">2.3 Renvois « tableau N » et « figure N » à corriger</w:t>
      </w:r>
    </w:p>
    <w:p>
      <w:pPr>
        <w:spacing w:after="120" w:line="288"/>
      </w:pPr>
      <w:r>
        <w:rPr>
          <w:rFonts w:ascii="Arial" w:cs="Arial" w:eastAsia="Arial" w:hAnsi="Arial"/>
          <w:sz w:val="21"/>
          <w:szCs w:val="21"/>
        </w:rPr>
        <w:t xml:space="preserve">Les légendes sont numérotées automatiquement (champs SEQ), mais les renvois dans le texte sont tapés à la main. À partir du tableau 14, ils sont décalés d’un cran ; pour les figures des sprints, de deux. Plusieurs renvois sont encore « figure _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Passage (texte actuel)</w:t>
            </w:r>
          </w:p>
        </w:tc>
        <w:tc>
          <w:tcPr>
            <w:tcW w:type="dxa" w:w="24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Écrit</w:t>
            </w:r>
          </w:p>
        </w:tc>
        <w:tc>
          <w:tcPr>
            <w:tcW w:type="dxa" w:w="36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Devrait être</w:t>
            </w:r>
          </w:p>
        </w:tc>
      </w:tr>
      <w:tr>
        <w:trPr>
          <w:cantSplit/>
        </w:trPr>
        <w:tc>
          <w:tcPr>
            <w:tcW w:type="dxa" w:w="3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Services Docker</w:t>
            </w:r>
          </w:p>
        </w:tc>
        <w:tc>
          <w:tcPr>
            <w:tcW w:type="dxa" w:w="24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30</w:t>
            </w:r>
          </w:p>
        </w:tc>
        <w:tc>
          <w:tcPr>
            <w:tcW w:type="dxa" w:w="3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31</w:t>
            </w:r>
          </w:p>
        </w:tc>
      </w:tr>
      <w:tr>
        <w:trPr>
          <w:cantSplit/>
        </w:trPr>
        <w:tc>
          <w:tcPr>
            <w:tcW w:type="dxa" w:w="3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Variables d’environnement du backend</w:t>
            </w:r>
          </w:p>
        </w:tc>
        <w:tc>
          <w:tcPr>
            <w:tcW w:type="dxa" w:w="24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31</w:t>
            </w:r>
          </w:p>
        </w:tc>
        <w:tc>
          <w:tcPr>
            <w:tcW w:type="dxa" w:w="36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32</w:t>
            </w:r>
          </w:p>
        </w:tc>
      </w:tr>
      <w:tr>
        <w:trPr>
          <w:cantSplit/>
        </w:trPr>
        <w:tc>
          <w:tcPr>
            <w:tcW w:type="dxa" w:w="3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Architecture : couches ; vue d’ensemble</w:t>
            </w:r>
          </w:p>
        </w:tc>
        <w:tc>
          <w:tcPr>
            <w:tcW w:type="dxa" w:w="24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32 ; figure _</w:t>
            </w:r>
          </w:p>
        </w:tc>
        <w:tc>
          <w:tcPr>
            <w:tcW w:type="dxa" w:w="3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33 ; figure 24</w:t>
            </w:r>
          </w:p>
        </w:tc>
      </w:tr>
      <w:tr>
        <w:trPr>
          <w:cantSplit/>
        </w:trPr>
        <w:tc>
          <w:tcPr>
            <w:tcW w:type="dxa" w:w="3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Migrations ; contraintes SQL</w:t>
            </w:r>
          </w:p>
        </w:tc>
        <w:tc>
          <w:tcPr>
            <w:tcW w:type="dxa" w:w="24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33 ; tableau 34</w:t>
            </w:r>
          </w:p>
        </w:tc>
        <w:tc>
          <w:tcPr>
            <w:tcW w:type="dxa" w:w="36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34 ; tableau 35</w:t>
            </w:r>
          </w:p>
        </w:tc>
      </w:tr>
      <w:tr>
        <w:trPr>
          <w:cantSplit/>
        </w:trPr>
        <w:tc>
          <w:tcPr>
            <w:tcW w:type="dxa" w:w="3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Acceptation d’une réservation : séquence ; extrait de code</w:t>
            </w:r>
          </w:p>
        </w:tc>
        <w:tc>
          <w:tcPr>
            <w:tcW w:type="dxa" w:w="24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figure _ ; figure _</w:t>
            </w:r>
          </w:p>
        </w:tc>
        <w:tc>
          <w:tcPr>
            <w:tcW w:type="dxa" w:w="3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figure 31 ; figure 32</w:t>
            </w:r>
          </w:p>
        </w:tc>
      </w:tr>
      <w:tr>
        <w:trPr>
          <w:cantSplit/>
        </w:trPr>
        <w:tc>
          <w:tcPr>
            <w:tcW w:type="dxa" w:w="3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Suites de tests</w:t>
            </w:r>
          </w:p>
        </w:tc>
        <w:tc>
          <w:tcPr>
            <w:tcW w:type="dxa" w:w="24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35</w:t>
            </w:r>
          </w:p>
        </w:tc>
        <w:tc>
          <w:tcPr>
            <w:tcW w:type="dxa" w:w="36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36</w:t>
            </w:r>
          </w:p>
        </w:tc>
      </w:tr>
      <w:tr>
        <w:trPr>
          <w:cantSplit/>
        </w:trPr>
        <w:tc>
          <w:tcPr>
            <w:tcW w:type="dxa" w:w="3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Sprints 1 à 7 (diagrammes de classes)</w:t>
            </w:r>
          </w:p>
        </w:tc>
        <w:tc>
          <w:tcPr>
            <w:tcW w:type="dxa" w:w="24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figures 5, _, _, 8 et 9, 10, 11, 12</w:t>
            </w:r>
          </w:p>
        </w:tc>
        <w:tc>
          <w:tcPr>
            <w:tcW w:type="dxa" w:w="3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figures 7, 8, 9, 10 et 11, 12, 13, 14</w:t>
            </w:r>
          </w:p>
        </w:tc>
      </w:tr>
      <w:tr>
        <w:trPr>
          <w:cantSplit/>
        </w:trPr>
        <w:tc>
          <w:tcPr>
            <w:tcW w:type="dxa" w:w="3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Paquetages ; déploiement</w:t>
            </w:r>
          </w:p>
        </w:tc>
        <w:tc>
          <w:tcPr>
            <w:tcW w:type="dxa" w:w="24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28, figure 14 ; tableau 29, figure 15</w:t>
            </w:r>
          </w:p>
        </w:tc>
        <w:tc>
          <w:tcPr>
            <w:tcW w:type="dxa" w:w="36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29, figure 16 ; tableau 30, figure 17</w:t>
            </w:r>
          </w:p>
        </w:tc>
      </w:tr>
      <w:tr>
        <w:trPr>
          <w:cantSplit/>
        </w:trPr>
        <w:tc>
          <w:tcPr>
            <w:tcW w:type="dxa" w:w="3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Comparaisons de la partie Analyse (tableaux 14 à 27)</w:t>
            </w:r>
          </w:p>
        </w:tc>
        <w:tc>
          <w:tcPr>
            <w:tcW w:type="dxa" w:w="24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N</w:t>
            </w:r>
          </w:p>
        </w:tc>
        <w:tc>
          <w:tcPr>
            <w:tcW w:type="dxa" w:w="3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N + 1</w:t>
            </w:r>
          </w:p>
        </w:tc>
      </w:tr>
    </w:tbl>
    <w:p>
      <w:pPr>
        <w:spacing w:after="120" w:line="288"/>
      </w:pPr>
      <w:r>
        <w:rPr>
          <w:rFonts w:ascii="Arial" w:cs="Arial" w:eastAsia="Arial" w:hAnsi="Arial"/>
          <w:b/>
          <w:bCs/>
          <w:sz w:val="21"/>
          <w:szCs w:val="21"/>
        </w:rPr>
        <w:t xml:space="preserve">Méthode. </w:t>
      </w:r>
      <w:r>
        <w:rPr>
          <w:rFonts w:ascii="Arial" w:cs="Arial" w:eastAsia="Arial" w:hAnsi="Arial"/>
          <w:sz w:val="21"/>
          <w:szCs w:val="21"/>
        </w:rPr>
        <w:t xml:space="preserve">Ne corrigez qu’après avoir inséré les nouvelles figures et tableaux du back-office, qui décalent encore la numérotation. Le plus sûr : remplacer chaque renvoi par un renvoi Word (Insertion &gt; Renvoi &gt; Figure ou Tableau &gt; « Étiquette et numéro seulement »), qui se met à jour avec F9.</w:t>
      </w:r>
    </w:p>
    <w:p>
      <w:pPr>
        <w:pStyle w:val="Heading1"/>
        <w:spacing w:after="160" w:before="360"/>
      </w:pPr>
      <w:r>
        <w:rPr>
          <w:rFonts w:ascii="Arial" w:cs="Arial" w:eastAsia="Arial" w:hAnsi="Arial"/>
          <w:b/>
          <w:bCs/>
          <w:color w:val="332E86"/>
          <w:sz w:val="30"/>
          <w:szCs w:val="30"/>
        </w:rPr>
        <w:t xml:space="preserve">3. Présenter le back-office dans la Réalisation</w:t>
      </w:r>
    </w:p>
    <w:p>
      <w:pPr>
        <w:spacing w:after="120" w:line="288"/>
      </w:pPr>
      <w:r>
        <w:rPr>
          <w:rFonts w:ascii="Arial" w:cs="Arial" w:eastAsia="Arial" w:hAnsi="Arial"/>
          <w:sz w:val="21"/>
          <w:szCs w:val="21"/>
        </w:rPr>
        <w:t xml:space="preserve">Le plan suit l’ordre du chapitre existant. Chaque ajout est court, car la Réalisation du mémoire est déjà dense : les captures et extraits secondaires vont en annexe.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tblHeader/>
        </w:trPr>
        <w:tc>
          <w:tcPr>
            <w:tcW w:type="dxa" w:w="25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Où</w:t>
            </w:r>
          </w:p>
        </w:tc>
        <w:tc>
          <w:tcPr>
            <w:tcW w:type="dxa" w:w="37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Ajout</w:t>
            </w:r>
          </w:p>
        </w:tc>
        <w:tc>
          <w:tcPr>
            <w:tcW w:type="dxa" w:w="28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Éléments à produire</w:t>
            </w:r>
          </w:p>
        </w:tc>
      </w:tr>
      <w:tr>
        <w:trPr>
          <w:cantSplit/>
        </w:trPr>
        <w:tc>
          <w:tcPr>
            <w:tcW w:type="dxa" w:w="25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6.1 après « Application mobile Expo / React Native »</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Nouvelle sous-section « Back-office web (React / Vite) » (§3.1)</w:t>
            </w:r>
          </w:p>
        </w:tc>
        <w:tc>
          <w:tcPr>
            <w:tcW w:type="dxa" w:w="28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Figure : lancement du back-office (terminal avec npm run dev)</w:t>
            </w:r>
          </w:p>
        </w:tc>
      </w:tr>
      <w:tr>
        <w:trPr>
          <w:cantSplit/>
        </w:trPr>
        <w:tc>
          <w:tcPr>
            <w:tcW w:type="dxa" w:w="25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 Architecture de l’application »</w:t>
            </w:r>
          </w:p>
        </w:tc>
        <w:tc>
          <w:tcPr>
            <w:tcW w:type="dxa" w:w="37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Un client de plus : phrase d’introduction, ligne du tableau 33, phrase de sécurité (§3.2)</w:t>
            </w:r>
          </w:p>
        </w:tc>
        <w:tc>
          <w:tcPr>
            <w:tcW w:type="dxa" w:w="2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Figure 24 à refaire avec le back-office</w:t>
            </w:r>
          </w:p>
        </w:tc>
      </w:tr>
      <w:tr>
        <w:trPr>
          <w:cantSplit/>
        </w:trPr>
        <w:tc>
          <w:tcPr>
            <w:tcW w:type="dxa" w:w="25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 Codage de l’application », après « Codage du côté application mobile »</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Nouvelle sous-section « Codage du côté back-office » (§3.3)</w:t>
            </w:r>
          </w:p>
        </w:tc>
        <w:tc>
          <w:tcPr>
            <w:tcW w:type="dxa" w:w="28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2 extraits de code (figures)</w:t>
            </w:r>
          </w:p>
        </w:tc>
      </w:tr>
      <w:tr>
        <w:trPr>
          <w:cantSplit/>
        </w:trPr>
        <w:tc>
          <w:tcPr>
            <w:tcW w:type="dxa" w:w="25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 Tests »</w:t>
            </w:r>
          </w:p>
        </w:tc>
        <w:tc>
          <w:tcPr>
            <w:tcW w:type="dxa" w:w="37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Un paragraphe et une ligne au tableau 36 (§3.4)</w:t>
            </w:r>
          </w:p>
        </w:tc>
        <w:tc>
          <w:tcPr>
            <w:tcW w:type="dxa" w:w="2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Aucun</w:t>
            </w:r>
          </w:p>
        </w:tc>
      </w:tr>
      <w:tr>
        <w:trPr>
          <w:cantSplit/>
        </w:trPr>
        <w:tc>
          <w:tcPr>
            <w:tcW w:type="dxa" w:w="25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 Présentation de l’application », après « Espace du lieu partenaire »</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Nouvelle section « Espace de l’administrateur (back-office) » (§3.5)</w:t>
            </w:r>
          </w:p>
        </w:tc>
        <w:tc>
          <w:tcPr>
            <w:tcW w:type="dxa" w:w="28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5 captures dans le corps, le reste en annexe B</w:t>
            </w:r>
          </w:p>
        </w:tc>
      </w:tr>
    </w:tbl>
    <w:p>
      <w:pPr>
        <w:pStyle w:val="Heading2"/>
        <w:spacing w:after="120" w:before="240"/>
      </w:pPr>
      <w:r>
        <w:rPr>
          <w:rFonts w:ascii="Arial" w:cs="Arial" w:eastAsia="Arial" w:hAnsi="Arial"/>
          <w:b/>
          <w:bCs/>
          <w:color w:val="211C5E"/>
          <w:sz w:val="25"/>
          <w:szCs w:val="25"/>
        </w:rPr>
        <w:t xml:space="preserve">3.1 Installation et lancement du back-office</w:t>
      </w:r>
    </w:p>
    <w:p>
      <w:pPr>
        <w:spacing w:after="60" w:before="120"/>
      </w:pPr>
      <w:r>
        <w:rPr>
          <w:rFonts w:ascii="Arial" w:cs="Arial" w:eastAsia="Arial" w:hAnsi="Arial"/>
          <w:b/>
          <w:bCs/>
          <w:color w:val="332E86"/>
          <w:sz w:val="19"/>
          <w:szCs w:val="19"/>
        </w:rPr>
        <w:t xml:space="preserve">À insérer après la sous-section « Application mobile Expo / React Native » (titre de niveau 4 : « Back-office web (React / Vite) »)</w:t>
      </w:r>
    </w:p>
    <w:p>
      <w:pPr>
        <w:pBdr>
          <w:left w:val="single" w:color="332E86" w:sz="18" w:space="8"/>
        </w:pBdr>
        <w:shd w:fill="F3F2FB" w:val="clear"/>
        <w:spacing w:after="100" w:line="288"/>
        <w:ind w:left="200" w:right="100"/>
      </w:pPr>
      <w:r>
        <w:rPr>
          <w:rFonts w:ascii="Arial" w:cs="Arial" w:eastAsia="Arial" w:hAnsi="Arial"/>
          <w:sz w:val="21"/>
          <w:szCs w:val="21"/>
        </w:rPr>
        <w:t xml:space="preserve">Le back-office est l’application web réservée à l’administration de la plateforme. Il est développé avec React et TypeScript, construit avec Vite et mis en forme avec Tailwind CSS ; il constitue le troisième dépôt du projet (dossier eduloc-admin). Après l’installation des dépendances, la commande npm run dev démarre le serveur de développement, accessible à l’adresse http://localhost:5173. L’adresse de l’API se règle avec la variable VITE_API_URL (http://localhost:3003/api par défaut).</w:t>
      </w:r>
    </w:p>
    <w:p>
      <w:pPr>
        <w:pBdr>
          <w:left w:val="single" w:color="332E86" w:sz="18" w:space="8"/>
        </w:pBdr>
        <w:shd w:fill="F3F2FB" w:val="clear"/>
        <w:spacing w:after="100" w:line="288"/>
        <w:ind w:left="200" w:right="100"/>
      </w:pPr>
      <w:r>
        <w:rPr>
          <w:rFonts w:ascii="Arial" w:cs="Arial" w:eastAsia="Arial" w:hAnsi="Arial"/>
          <w:sz w:val="21"/>
          <w:szCs w:val="21"/>
        </w:rPr>
        <w:t xml:space="preserve">Le back-office ne possède ni base de données ni règle métier propre : il appelle uniquement les routes /admin de l’API et n’affiche que ce qu’elle renvoie. La connexion est refusée à tout compte qui ne dispose pas des droits d’administration, même si l’adresse e-mail et le mot de passe sont corrects.</w:t>
      </w:r>
    </w:p>
    <w:p>
      <w:pPr>
        <w:spacing w:after="60" w:before="120"/>
      </w:pPr>
      <w:r>
        <w:rPr>
          <w:rFonts w:ascii="Arial" w:cs="Arial" w:eastAsia="Arial" w:hAnsi="Arial"/>
          <w:b/>
          <w:bCs/>
          <w:color w:val="332E86"/>
          <w:sz w:val="19"/>
          <w:szCs w:val="19"/>
        </w:rPr>
        <w:t xml:space="preserve">Légende à créer : « Figure N : Lancement du back-office » (capture du terminal après npm run dev).</w:t>
      </w:r>
    </w:p>
    <w:p>
      <w:pPr>
        <w:spacing w:after="120" w:line="288"/>
      </w:pPr>
      <w:r>
        <w:rPr>
          <w:rFonts w:ascii="Arial" w:cs="Arial" w:eastAsia="Arial" w:hAnsi="Arial"/>
          <w:sz w:val="21"/>
          <w:szCs w:val="21"/>
        </w:rPr>
        <w:t xml:space="preserve">Pour le tableau des moyens logiciels (tableaux 7 et 9), lignes à ajouter : React (v19) – bibliothèque d’interfaces web ; Vite (v6) – outil de construction et serveur de développement ; Tailwind CSS (v4) – mise en forme ; lucide-react – icônes. Vérifiez les numéros exacts avec « npm ls react vite tailwindcss » dans eduloc-admin.</w:t>
      </w:r>
    </w:p>
    <w:p>
      <w:pPr>
        <w:pStyle w:val="Heading2"/>
        <w:spacing w:after="120" w:before="240"/>
      </w:pPr>
      <w:r>
        <w:rPr>
          <w:rFonts w:ascii="Arial" w:cs="Arial" w:eastAsia="Arial" w:hAnsi="Arial"/>
          <w:b/>
          <w:bCs/>
          <w:color w:val="211C5E"/>
          <w:sz w:val="25"/>
          <w:szCs w:val="25"/>
        </w:rPr>
        <w:t xml:space="preserve">3.2 Architecture et sécurité</w:t>
      </w:r>
    </w:p>
    <w:p>
      <w:pPr>
        <w:spacing w:after="60" w:before="120"/>
      </w:pPr>
      <w:r>
        <w:rPr>
          <w:rFonts w:ascii="Arial" w:cs="Arial" w:eastAsia="Arial" w:hAnsi="Arial"/>
          <w:b/>
          <w:bCs/>
          <w:color w:val="332E86"/>
          <w:sz w:val="19"/>
          <w:szCs w:val="19"/>
        </w:rPr>
        <w:t xml:space="preserve">Paragraphe d’introduction de « Architecture de l’application » : remplacer la phrase sur le premier niveau par</w:t>
      </w:r>
    </w:p>
    <w:p>
      <w:pPr>
        <w:pBdr>
          <w:left w:val="single" w:color="332E86" w:sz="18" w:space="8"/>
        </w:pBdr>
        <w:shd w:fill="F3F2FB" w:val="clear"/>
        <w:spacing w:after="100" w:line="288"/>
        <w:ind w:left="200" w:right="100"/>
      </w:pPr>
      <w:r>
        <w:rPr>
          <w:rFonts w:ascii="Arial" w:cs="Arial" w:eastAsia="Arial" w:hAnsi="Arial"/>
          <w:sz w:val="21"/>
          <w:szCs w:val="21"/>
        </w:rPr>
        <w:t xml:space="preserve">…un premier niveau de présentation, composé de l’application mobile (demandeurs, tuteurs et gestionnaires de lieux) et du back-office web (administrateurs), un deuxième niveau de traitements applicatifs (l’API) et un troisième niveau de données (PostgreSQL, Redis et le stockage de fichiers).</w:t>
      </w:r>
    </w:p>
    <w:p>
      <w:pPr>
        <w:spacing w:after="60" w:before="120"/>
      </w:pPr>
      <w:r>
        <w:rPr>
          <w:rFonts w:ascii="Arial" w:cs="Arial" w:eastAsia="Arial" w:hAnsi="Arial"/>
          <w:b/>
          <w:bCs/>
          <w:color w:val="332E86"/>
          <w:sz w:val="19"/>
          <w:szCs w:val="19"/>
        </w:rPr>
        <w:t xml:space="preserve">Ligne à ajouter au tableau 33 (Niveau | Couche | Responsabilité)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626"/>
      </w:tblGrid>
      <w:tr>
        <w:trPr>
          <w:tblHeader/>
        </w:trPr>
        <w:tc>
          <w:tcPr>
            <w:tcW w:type="dxa" w:w="17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Niveau</w:t>
            </w:r>
          </w:p>
        </w:tc>
        <w:tc>
          <w:tcPr>
            <w:tcW w:type="dxa" w:w="27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Couche</w:t>
            </w:r>
          </w:p>
        </w:tc>
        <w:tc>
          <w:tcPr>
            <w:tcW w:type="dxa" w:w="46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Responsabilité</w:t>
            </w:r>
          </w:p>
        </w:tc>
      </w:tr>
      <w:tr>
        <w:trPr>
          <w:cantSplit/>
        </w:trPr>
        <w:tc>
          <w:tcPr>
            <w:tcW w:type="dxa" w:w="1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1. Présentation</w:t>
            </w:r>
          </w:p>
        </w:tc>
        <w:tc>
          <w:tcPr>
            <w:tcW w:type="dxa" w:w="2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Back-office web (React, Vite)</w:t>
            </w:r>
          </w:p>
        </w:tc>
        <w:tc>
          <w:tcPr>
            <w:tcW w:type="dxa" w:w="4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Écrans d’administration : un client HTTP unique (jetons, renouvellement automatique), un module d’appels par action de l’administrateur, des écrans sans appel réseau direct.</w:t>
            </w:r>
          </w:p>
        </w:tc>
      </w:tr>
    </w:tbl>
    <w:p>
      <w:pPr>
        <w:spacing w:after="80"/>
      </w:pPr>
    </w:p>
    <w:p>
      <w:pPr>
        <w:spacing w:after="60" w:before="120"/>
      </w:pPr>
      <w:r>
        <w:rPr>
          <w:rFonts w:ascii="Arial" w:cs="Arial" w:eastAsia="Arial" w:hAnsi="Arial"/>
          <w:b/>
          <w:bCs/>
          <w:color w:val="332E86"/>
          <w:sz w:val="19"/>
          <w:szCs w:val="19"/>
        </w:rPr>
        <w:t xml:space="preserve">À ajouter à la fin du paragraphe sur la sécurité</w:t>
      </w:r>
    </w:p>
    <w:p>
      <w:pPr>
        <w:pBdr>
          <w:left w:val="single" w:color="332E86" w:sz="18" w:space="8"/>
        </w:pBdr>
        <w:shd w:fill="F3F2FB" w:val="clear"/>
        <w:spacing w:after="100" w:line="288"/>
        <w:ind w:left="200" w:right="100"/>
      </w:pPr>
      <w:r>
        <w:rPr>
          <w:rFonts w:ascii="Arial" w:cs="Arial" w:eastAsia="Arial" w:hAnsi="Arial"/>
          <w:sz w:val="21"/>
          <w:szCs w:val="21"/>
        </w:rPr>
        <w:t xml:space="preserve">Le back-office n’ouvre aucune porte supplémentaire : toutes les routes d’administration sont protégées par un garde (AdminGuard) qui refuse tout compte sans droits d’administration, et les décisions sensibles (refus, suspension, masquage d’un avis) exigent un motif conservé dans l’historique.</w:t>
      </w:r>
    </w:p>
    <w:p>
      <w:pPr>
        <w:spacing w:after="120" w:line="288"/>
      </w:pPr>
      <w:r>
        <w:rPr>
          <w:rFonts w:ascii="Arial" w:cs="Arial" w:eastAsia="Arial" w:hAnsi="Arial"/>
          <w:sz w:val="21"/>
          <w:szCs w:val="21"/>
        </w:rPr>
        <w:t xml:space="preserve">Figure 24 : ajouter dans le schéma un second bloc « Back-office web (React) » relié à l’API, à côté de l’application mobile.</w:t>
      </w:r>
    </w:p>
    <w:p>
      <w:pPr>
        <w:pStyle w:val="Heading2"/>
        <w:spacing w:after="120" w:before="240"/>
      </w:pPr>
      <w:r>
        <w:rPr>
          <w:rFonts w:ascii="Arial" w:cs="Arial" w:eastAsia="Arial" w:hAnsi="Arial"/>
          <w:b/>
          <w:bCs/>
          <w:color w:val="211C5E"/>
          <w:sz w:val="25"/>
          <w:szCs w:val="25"/>
        </w:rPr>
        <w:t xml:space="preserve">3.3 Codage du côté back-office</w:t>
      </w:r>
    </w:p>
    <w:p>
      <w:pPr>
        <w:spacing w:after="60" w:before="120"/>
      </w:pPr>
      <w:r>
        <w:rPr>
          <w:rFonts w:ascii="Arial" w:cs="Arial" w:eastAsia="Arial" w:hAnsi="Arial"/>
          <w:b/>
          <w:bCs/>
          <w:color w:val="332E86"/>
          <w:sz w:val="19"/>
          <w:szCs w:val="19"/>
        </w:rPr>
        <w:t xml:space="preserve">Nouveau titre de niveau 4 « Codage du côté back-office », juste avant « Tests »</w:t>
      </w:r>
    </w:p>
    <w:p>
      <w:pPr>
        <w:pBdr>
          <w:left w:val="single" w:color="332E86" w:sz="18" w:space="8"/>
        </w:pBdr>
        <w:shd w:fill="F3F2FB" w:val="clear"/>
        <w:spacing w:after="100" w:line="288"/>
        <w:ind w:left="200" w:right="100"/>
      </w:pPr>
      <w:r>
        <w:rPr>
          <w:rFonts w:ascii="Arial" w:cs="Arial" w:eastAsia="Arial" w:hAnsi="Arial"/>
          <w:sz w:val="21"/>
          <w:szCs w:val="21"/>
        </w:rPr>
        <w:t xml:space="preserve">Le back-office suit la même séparation que l’application mobile. Un client HTTP unique (src/lib/http.ts) ajoute le jeton d’accès à chaque requête, le renouvelle une seule fois lorsque l’API répond par une erreur d’authentification (le jeton de rafraîchissement étant à usage unique, un seul renouvellement est lancé à la fois, même si plusieurs requêtes échouent ensemble) et transforme les erreurs de l’API en messages lisibles. Un module (src/lib/api.ts) expose une fonction par action de l’administrateur. Les écrans ne contiennent aucun appel réseau : ils s’appuient sur deux hooks, useAsync, qui charge et recharge les données en ignorant les réponses périmées, et useAction, qui exécute une écriture et affiche le succès ou l’erreur renvoyée par le serveur.</w:t>
      </w:r>
    </w:p>
    <w:p>
      <w:pPr>
        <w:pBdr>
          <w:left w:val="single" w:color="332E86" w:sz="18" w:space="8"/>
        </w:pBdr>
        <w:shd w:fill="F3F2FB" w:val="clear"/>
        <w:spacing w:after="100" w:line="288"/>
        <w:ind w:left="200" w:right="100"/>
      </w:pPr>
      <w:r>
        <w:rPr>
          <w:rFonts w:ascii="Arial" w:cs="Arial" w:eastAsia="Arial" w:hAnsi="Arial"/>
          <w:sz w:val="21"/>
          <w:szCs w:val="21"/>
        </w:rPr>
        <w:t xml:space="preserve">Deux règles de gestion illustrent le rôle de l’administrateur. D’abord, approuver un justificatif dont l’authenticité est contrôlée (diplôme, relevé de notes, certificat, preuve d’expérience) exige une confirmation explicite : sans elle, l’API refuse la décision. Le libellé « vérifié » montré au demandeur n’a de sens que si une personne a réellement contrôlé la pièce ; pour cela, une route délivre un lien de lecture valable dix minutes. Ensuite, suspendre un tuteur le retire de la recherche et signale, dans la même transaction, chacune de ses séances à venir par un conflit ; lever la suspension le rétablit et classe automatiquement les conflits de ce type.</w:t>
      </w:r>
    </w:p>
    <w:p>
      <w:pPr>
        <w:spacing w:after="60" w:before="120"/>
      </w:pPr>
      <w:r>
        <w:rPr>
          <w:rFonts w:ascii="Arial" w:cs="Arial" w:eastAsia="Arial" w:hAnsi="Arial"/>
          <w:b/>
          <w:bCs/>
          <w:color w:val="332E86"/>
          <w:sz w:val="19"/>
          <w:szCs w:val="19"/>
        </w:rPr>
        <w:t xml:space="preserve">Deux figures à créer (capture d’écran de l’éditeur, comme les figures 28 à 35)</w:t>
      </w:r>
    </w:p>
    <w:p>
      <w:pPr>
        <w:pStyle w:val="ListParagraph"/>
        <w:numPr>
          <w:ilvl w:val="0"/>
          <w:numId w:val="2"/>
        </w:numPr>
        <w:spacing w:after="60" w:line="276"/>
      </w:pPr>
      <w:r>
        <w:rPr>
          <w:rFonts w:ascii="Arial" w:cs="Arial" w:eastAsia="Arial" w:hAnsi="Arial"/>
          <w:b/>
          <w:bCs/>
          <w:sz w:val="21"/>
          <w:szCs w:val="21"/>
        </w:rPr>
        <w:t xml:space="preserve">Figure N : Extrait de admin.service.ts : reviewDocument. </w:t>
      </w:r>
      <w:r>
        <w:rPr>
          <w:rFonts w:ascii="Arial" w:cs="Arial" w:eastAsia="Arial" w:hAnsi="Arial"/>
          <w:sz w:val="21"/>
          <w:szCs w:val="21"/>
        </w:rPr>
        <w:t xml:space="preserve">Fichier edUloc back/eduloc-backend/src/modules/admin/admin.service.ts, la méthode reviewDocument (le test AUTHENTICITY_CHECKED_TYPES et l’erreur AUTHENTICITY_CONFIRMATION_REQUIRED).</w:t>
      </w:r>
    </w:p>
    <w:p>
      <w:pPr>
        <w:pStyle w:val="ListParagraph"/>
        <w:numPr>
          <w:ilvl w:val="0"/>
          <w:numId w:val="2"/>
        </w:numPr>
        <w:spacing w:after="60" w:line="276"/>
      </w:pPr>
      <w:r>
        <w:rPr>
          <w:rFonts w:ascii="Arial" w:cs="Arial" w:eastAsia="Arial" w:hAnsi="Arial"/>
          <w:b/>
          <w:bCs/>
          <w:sz w:val="21"/>
          <w:szCs w:val="21"/>
        </w:rPr>
        <w:t xml:space="preserve">Figure N+1 : Extrait de http.ts : renouvellement du jeton. </w:t>
      </w:r>
      <w:r>
        <w:rPr>
          <w:rFonts w:ascii="Arial" w:cs="Arial" w:eastAsia="Arial" w:hAnsi="Arial"/>
          <w:sz w:val="21"/>
          <w:szCs w:val="21"/>
        </w:rPr>
        <w:t xml:space="preserve">Fichier eduloc-admin/src/lib/http.ts, la fonction refreshTokens et le début de request.</w:t>
      </w:r>
    </w:p>
    <w:p>
      <w:pPr>
        <w:pStyle w:val="Heading2"/>
        <w:spacing w:after="120" w:before="240"/>
      </w:pPr>
      <w:r>
        <w:rPr>
          <w:rFonts w:ascii="Arial" w:cs="Arial" w:eastAsia="Arial" w:hAnsi="Arial"/>
          <w:b/>
          <w:bCs/>
          <w:color w:val="211C5E"/>
          <w:sz w:val="25"/>
          <w:szCs w:val="25"/>
        </w:rPr>
        <w:t xml:space="preserve">3.4 Tests</w:t>
      </w:r>
    </w:p>
    <w:p>
      <w:pPr>
        <w:spacing w:after="60" w:before="120"/>
      </w:pPr>
      <w:r>
        <w:rPr>
          <w:rFonts w:ascii="Arial" w:cs="Arial" w:eastAsia="Arial" w:hAnsi="Arial"/>
          <w:b/>
          <w:bCs/>
          <w:color w:val="332E86"/>
          <w:sz w:val="19"/>
          <w:szCs w:val="19"/>
        </w:rPr>
        <w:t xml:space="preserve">À ajouter à la fin de la sous-section « Tests »</w:t>
      </w:r>
    </w:p>
    <w:p>
      <w:pPr>
        <w:pBdr>
          <w:left w:val="single" w:color="332E86" w:sz="18" w:space="8"/>
        </w:pBdr>
        <w:shd w:fill="F3F2FB" w:val="clear"/>
        <w:spacing w:after="100" w:line="288"/>
        <w:ind w:left="200" w:right="100"/>
      </w:pPr>
      <w:r>
        <w:rPr>
          <w:rFonts w:ascii="Arial" w:cs="Arial" w:eastAsia="Arial" w:hAnsi="Arial"/>
          <w:sz w:val="21"/>
          <w:szCs w:val="21"/>
        </w:rPr>
        <w:t xml:space="preserve">Le back-office est vérifié de deux façons. Un test d’intégration (tutor-suspension.int.spec.ts, 4 tests) contrôle la suspension d’un tuteur, la levée de la suspension et la détection planifiée des conflits sur la base jetable. Un scénario de bout en bout de 52 vérifications est exécuté avec le client même du back-office contre une API démarrée sur cette base : connexion, instruction d’un dossier de tuteur, modération des offres, suspension et conflits, examen d’une structure et d’une salle, gestion des plans. Le détail figure en annexe D.</w:t>
      </w:r>
    </w:p>
    <w:p>
      <w:pPr>
        <w:spacing w:after="60" w:before="120"/>
      </w:pPr>
      <w:r>
        <w:rPr>
          <w:rFonts w:ascii="Arial" w:cs="Arial" w:eastAsia="Arial" w:hAnsi="Arial"/>
          <w:b/>
          <w:bCs/>
          <w:color w:val="332E86"/>
          <w:sz w:val="19"/>
          <w:szCs w:val="19"/>
        </w:rPr>
        <w:t xml:space="preserve">Ligne à ajouter au tableau 36 (Suite | Commande | Contenu)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26"/>
      </w:tblGrid>
      <w:tr>
        <w:trPr>
          <w:tblHeader/>
        </w:trPr>
        <w:tc>
          <w:tcPr>
            <w:tcW w:type="dxa" w:w="23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Suite</w:t>
            </w:r>
          </w:p>
        </w:tc>
        <w:tc>
          <w:tcPr>
            <w:tcW w:type="dxa" w:w="27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Commande</w:t>
            </w:r>
          </w:p>
        </w:tc>
        <w:tc>
          <w:tcPr>
            <w:tcW w:type="dxa" w:w="40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Contenu</w:t>
            </w:r>
          </w:p>
        </w:tc>
      </w:tr>
      <w:tr>
        <w:trPr>
          <w:cantSplit/>
        </w:trPr>
        <w:tc>
          <w:tcPr>
            <w:tcW w:type="dxa" w:w="2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Scénario du back-office</w:t>
            </w:r>
          </w:p>
        </w:tc>
        <w:tc>
          <w:tcPr>
            <w:tcW w:type="dxa" w:w="2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npm run e2e:admin (scripts/admin-e2e.ts)</w:t>
            </w:r>
          </w:p>
        </w:tc>
        <w:tc>
          <w:tcPr>
            <w:tcW w:type="dxa" w:w="40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Parcours de l’administrateur via le client du back-office : 52 vérifications.</w:t>
            </w:r>
          </w:p>
        </w:tc>
      </w:tr>
    </w:tbl>
    <w:p>
      <w:pPr>
        <w:spacing w:after="80"/>
      </w:pPr>
    </w:p>
    <w:p>
      <w:pPr>
        <w:pStyle w:val="Heading2"/>
        <w:spacing w:after="120" w:before="240"/>
      </w:pPr>
      <w:r>
        <w:rPr>
          <w:rFonts w:ascii="Arial" w:cs="Arial" w:eastAsia="Arial" w:hAnsi="Arial"/>
          <w:b/>
          <w:bCs/>
          <w:color w:val="211C5E"/>
          <w:sz w:val="25"/>
          <w:szCs w:val="25"/>
        </w:rPr>
        <w:t xml:space="preserve">3.5 Présentation de l’application : espace de l’administrateur</w:t>
      </w:r>
    </w:p>
    <w:p>
      <w:pPr>
        <w:spacing w:after="60" w:before="120"/>
      </w:pPr>
      <w:r>
        <w:rPr>
          <w:rFonts w:ascii="Arial" w:cs="Arial" w:eastAsia="Arial" w:hAnsi="Arial"/>
          <w:b/>
          <w:bCs/>
          <w:color w:val="332E86"/>
          <w:sz w:val="19"/>
          <w:szCs w:val="19"/>
        </w:rPr>
        <w:t xml:space="preserve">Introduction de « Présentation de l’application » : ajouter à la fin</w:t>
      </w:r>
    </w:p>
    <w:p>
      <w:pPr>
        <w:pBdr>
          <w:left w:val="single" w:color="332E86" w:sz="18" w:space="8"/>
        </w:pBdr>
        <w:shd w:fill="F3F2FB" w:val="clear"/>
        <w:spacing w:after="100" w:line="288"/>
        <w:ind w:left="200" w:right="100"/>
      </w:pPr>
      <w:r>
        <w:rPr>
          <w:rFonts w:ascii="Arial" w:cs="Arial" w:eastAsia="Arial" w:hAnsi="Arial"/>
          <w:sz w:val="21"/>
          <w:szCs w:val="21"/>
        </w:rPr>
        <w:t xml:space="preserve">L’administration de la plateforme s’effectue dans une application web distincte, le back-office, présentée à la fin de cette section.</w:t>
      </w:r>
    </w:p>
    <w:p>
      <w:pPr>
        <w:spacing w:after="60" w:before="120"/>
      </w:pPr>
      <w:r>
        <w:rPr>
          <w:rFonts w:ascii="Arial" w:cs="Arial" w:eastAsia="Arial" w:hAnsi="Arial"/>
          <w:b/>
          <w:bCs/>
          <w:color w:val="332E86"/>
          <w:sz w:val="19"/>
          <w:szCs w:val="19"/>
        </w:rPr>
        <w:t xml:space="preserve">Nouveau titre de niveau 4 « Espace de l’administrateur (back-office) », après « Espace du lieu partenaire »</w:t>
      </w:r>
    </w:p>
    <w:p>
      <w:pPr>
        <w:pBdr>
          <w:left w:val="single" w:color="332E86" w:sz="18" w:space="8"/>
        </w:pBdr>
        <w:shd w:fill="F3F2FB" w:val="clear"/>
        <w:spacing w:after="100" w:line="288"/>
        <w:ind w:left="200" w:right="100"/>
      </w:pPr>
      <w:r>
        <w:rPr>
          <w:rFonts w:ascii="Arial" w:cs="Arial" w:eastAsia="Arial" w:hAnsi="Arial"/>
          <w:sz w:val="21"/>
          <w:szCs w:val="21"/>
        </w:rPr>
        <w:t xml:space="preserve">L’administrateur se connecte au back-office avec un compte disposant des droits d’administration ; l’écran de connexion reprend l’identité d’edUloc. Le menu latéral regroupe les fonctions en trois familles : tuteurs, plateforme et lieux partenaires. Une pastille rouge indique le nombre d’éléments en attente de décision.</w:t>
      </w:r>
    </w:p>
    <w:p>
      <w:pPr>
        <w:pBdr>
          <w:left w:val="single" w:color="332E86" w:sz="18" w:space="8"/>
        </w:pBdr>
        <w:shd w:fill="F3F2FB" w:val="clear"/>
        <w:spacing w:after="100" w:line="288"/>
        <w:ind w:left="200" w:right="100"/>
      </w:pPr>
      <w:r>
        <w:rPr>
          <w:rFonts w:ascii="Arial" w:cs="Arial" w:eastAsia="Arial" w:hAnsi="Arial"/>
          <w:sz w:val="21"/>
          <w:szCs w:val="21"/>
        </w:rPr>
        <w:t xml:space="preserve">Le tableau de bord présente d’abord ce qui attend l’administrateur : dossiers de tuteurs à examiner, structures et salles soumises, conflits ouverts. Il affiche ensuite quelques compteurs de la plateforme et permet de relancer l’indexation de la recherche sémantique.</w:t>
      </w:r>
    </w:p>
    <w:p>
      <w:pPr>
        <w:pBdr>
          <w:left w:val="single" w:color="332E86" w:sz="18" w:space="8"/>
        </w:pBdr>
        <w:shd w:fill="F3F2FB" w:val="clear"/>
        <w:spacing w:after="100" w:line="288"/>
        <w:ind w:left="200" w:right="100"/>
      </w:pPr>
      <w:r>
        <w:rPr>
          <w:rFonts w:ascii="Arial" w:cs="Arial" w:eastAsia="Arial" w:hAnsi="Arial"/>
          <w:sz w:val="21"/>
          <w:szCs w:val="21"/>
        </w:rPr>
        <w:t xml:space="preserve">L’écran des dossiers de tuteurs est le plus important. La fiche d’un dossier réunit le profil, les expériences, les matières déclarées et les justificatifs. L’administrateur ouvre chaque pièce, l’approuve ou la refuse ; approuver un diplôme exige de confirmer qu’il l’a contrôlé. Pour un diplôme hors des catégories principales, il tranche une équivalence qui sera réutilisée pour les dossiers semblables. Il valide ensuite le niveau académique du tuteur, seul niveau pris en compte pour l’accès aux niveaux universitaires, puis approuve ou refuse le dossier en indiquant un motif. Sur un tuteur déjà approuvé, il peut suspendre le profil, lever la suspension ou relancer l’indexation.</w:t>
      </w:r>
    </w:p>
    <w:p>
      <w:pPr>
        <w:pBdr>
          <w:left w:val="single" w:color="332E86" w:sz="18" w:space="8"/>
        </w:pBdr>
        <w:shd w:fill="F3F2FB" w:val="clear"/>
        <w:spacing w:after="100" w:line="288"/>
        <w:ind w:left="200" w:right="100"/>
      </w:pPr>
      <w:r>
        <w:rPr>
          <w:rFonts w:ascii="Arial" w:cs="Arial" w:eastAsia="Arial" w:hAnsi="Arial"/>
          <w:sz w:val="21"/>
          <w:szCs w:val="21"/>
        </w:rPr>
        <w:t xml:space="preserve">L’administrateur peut aussi retirer une offre, que le tuteur ne peut alors plus réactiver, suspendre ou réactiver un compte, et consulter les réservations. Cette consultation est en lecture seule : l’acceptation, le refus et l’annulation d’une séance appartiennent au tuteur et au demandeur. Les conflits, par exemple une séance dont le tuteur a été suspendu, sont résolus avec une note ou classés sans suite.</w:t>
      </w:r>
    </w:p>
    <w:p>
      <w:pPr>
        <w:pBdr>
          <w:left w:val="single" w:color="332E86" w:sz="18" w:space="8"/>
        </w:pBdr>
        <w:shd w:fill="F3F2FB" w:val="clear"/>
        <w:spacing w:after="100" w:line="288"/>
        <w:ind w:left="200" w:right="100"/>
      </w:pPr>
      <w:r>
        <w:rPr>
          <w:rFonts w:ascii="Arial" w:cs="Arial" w:eastAsia="Arial" w:hAnsi="Arial"/>
          <w:sz w:val="21"/>
          <w:szCs w:val="21"/>
        </w:rPr>
        <w:t xml:space="preserve">Pour les lieux partenaires, structures et salles sont examinées séparément. À chaque état d’un dossier, le back-office ne propose que les décisions autorisées par le cycle de vie : commencer l’examen, valider, demander des corrections, refuser, suspendre, désactiver ou rétablir. Un motif est obligatoire lorsque le gestionnaire doit savoir quoi corriger ; le NIF et le numéro statistique sont exigés pour valider une structure. L’administrateur peut retirer une salle de la publication, activer ou annuler l’offre commerciale d’une structure, masquer un avis et gérer le catalogue des offres commerciales.</w:t>
      </w:r>
    </w:p>
    <w:p>
      <w:pPr>
        <w:pStyle w:val="Heading3"/>
        <w:spacing w:after="80" w:before="180"/>
      </w:pPr>
      <w:r>
        <w:rPr>
          <w:rFonts w:ascii="Arial" w:cs="Arial" w:eastAsia="Arial" w:hAnsi="Arial"/>
          <w:b/>
          <w:bCs/>
          <w:sz w:val="22"/>
          <w:szCs w:val="22"/>
        </w:rPr>
        <w:t xml:space="preserve">Captures d’écran à faire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5126"/>
      </w:tblGrid>
      <w:tr>
        <w:trPr>
          <w:tblHeader/>
        </w:trPr>
        <w:tc>
          <w:tcPr>
            <w:tcW w:type="dxa" w:w="8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Figure</w:t>
            </w:r>
          </w:p>
        </w:tc>
        <w:tc>
          <w:tcPr>
            <w:tcW w:type="dxa" w:w="31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Écran</w:t>
            </w:r>
          </w:p>
        </w:tc>
        <w:tc>
          <w:tcPr>
            <w:tcW w:type="dxa" w:w="51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Contenu à montrer</w:t>
            </w:r>
          </w:p>
        </w:tc>
      </w:tr>
      <w:tr>
        <w:trPr>
          <w:cantSplit/>
        </w:trPr>
        <w:tc>
          <w:tcPr>
            <w:tcW w:type="dxa" w:w="8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Corps</w:t>
            </w:r>
          </w:p>
        </w:tc>
        <w:tc>
          <w:tcPr>
            <w:tcW w:type="dxa" w:w="31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Connexion et tableau de bord</w:t>
            </w:r>
          </w:p>
        </w:tc>
        <w:tc>
          <w:tcPr>
            <w:tcW w:type="dxa" w:w="5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Page de connexion avec le logo, puis tableau de bord avec au moins une pastille rouge dans le menu.</w:t>
            </w:r>
          </w:p>
        </w:tc>
      </w:tr>
      <w:tr>
        <w:trPr>
          <w:cantSplit/>
        </w:trPr>
        <w:tc>
          <w:tcPr>
            <w:tcW w:type="dxa" w:w="8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Corps</w:t>
            </w:r>
          </w:p>
        </w:tc>
        <w:tc>
          <w:tcPr>
            <w:tcW w:type="dxa" w:w="3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Liste des dossiers de tuteurs</w:t>
            </w:r>
          </w:p>
        </w:tc>
        <w:tc>
          <w:tcPr>
            <w:tcW w:type="dxa" w:w="5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Onglet « À examiner » avec un dossier : diplôme, niveau validé, justificatifs à contrôler.</w:t>
            </w:r>
          </w:p>
        </w:tc>
      </w:tr>
      <w:tr>
        <w:trPr>
          <w:cantSplit/>
        </w:trPr>
        <w:tc>
          <w:tcPr>
            <w:tcW w:type="dxa" w:w="8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Corps</w:t>
            </w:r>
          </w:p>
        </w:tc>
        <w:tc>
          <w:tcPr>
            <w:tcW w:type="dxa" w:w="31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Fiche d’un dossier</w:t>
            </w:r>
          </w:p>
        </w:tc>
        <w:tc>
          <w:tcPr>
            <w:tcW w:type="dxa" w:w="5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Panneau latéral : justificatifs avec « Ouvrir le fichier », « Approuver », « Refuser », puis le bloc « Niveau académique validé » et les boutons de décision.</w:t>
            </w:r>
          </w:p>
        </w:tc>
      </w:tr>
      <w:tr>
        <w:trPr>
          <w:cantSplit/>
        </w:trPr>
        <w:tc>
          <w:tcPr>
            <w:tcW w:type="dxa" w:w="8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Corps</w:t>
            </w:r>
          </w:p>
        </w:tc>
        <w:tc>
          <w:tcPr>
            <w:tcW w:type="dxa" w:w="3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Confirmation d’authenticité</w:t>
            </w:r>
          </w:p>
        </w:tc>
        <w:tc>
          <w:tcPr>
            <w:tcW w:type="dxa" w:w="5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Fenêtre « Approuver : Diplôme » avec le bouton « J’atteste avoir contrôlé ce document ».</w:t>
            </w:r>
          </w:p>
        </w:tc>
      </w:tr>
      <w:tr>
        <w:trPr>
          <w:cantSplit/>
        </w:trPr>
        <w:tc>
          <w:tcPr>
            <w:tcW w:type="dxa" w:w="8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Corps</w:t>
            </w:r>
          </w:p>
        </w:tc>
        <w:tc>
          <w:tcPr>
            <w:tcW w:type="dxa" w:w="31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Examen d’une structure ou d’une salle</w:t>
            </w:r>
          </w:p>
        </w:tc>
        <w:tc>
          <w:tcPr>
            <w:tcW w:type="dxa" w:w="5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Fiche avec statut, justificatifs, offre commerciale et boutons de décision adaptés à l’état.</w:t>
            </w:r>
          </w:p>
        </w:tc>
      </w:tr>
      <w:tr>
        <w:trPr>
          <w:cantSplit/>
        </w:trPr>
        <w:tc>
          <w:tcPr>
            <w:tcW w:type="dxa" w:w="8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Annexe B</w:t>
            </w:r>
          </w:p>
        </w:tc>
        <w:tc>
          <w:tcPr>
            <w:tcW w:type="dxa" w:w="3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Équivalences, offres, utilisateurs, réservations, conflits, avis, plans</w:t>
            </w:r>
          </w:p>
        </w:tc>
        <w:tc>
          <w:tcPr>
            <w:tcW w:type="dxa" w:w="5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Une capture par écran, légendée.</w:t>
            </w:r>
          </w:p>
        </w:tc>
      </w:tr>
    </w:tbl>
    <w:p>
      <w:pPr>
        <w:spacing w:after="120" w:line="288"/>
      </w:pPr>
      <w:r>
        <w:rPr>
          <w:rFonts w:ascii="Arial" w:cs="Arial" w:eastAsia="Arial" w:hAnsi="Arial"/>
          <w:b/>
          <w:bCs/>
          <w:sz w:val="21"/>
          <w:szCs w:val="21"/>
        </w:rPr>
        <w:t xml:space="preserve">Préparer les données. </w:t>
      </w:r>
      <w:r>
        <w:rPr>
          <w:rFonts w:ascii="Arial" w:cs="Arial" w:eastAsia="Arial" w:hAnsi="Arial"/>
          <w:sz w:val="21"/>
          <w:szCs w:val="21"/>
        </w:rPr>
        <w:t xml:space="preserve">Le dossier « À examiner » n’existe que si un tuteur a déposé sa candidature : faites-le depuis l’application mobile (déjà décrit dans le mémoire), avec un justificatif. Pour les structures et les salles, utilisez l’espace du lieu partenaire. Lancez ensuite le backend, puis npm run dev dans eduloc-admin, et connectez-vous avec le compte administrateur créé par le seed.</w:t>
      </w:r>
    </w:p>
    <w:p>
      <w:pPr>
        <w:pStyle w:val="Heading1"/>
        <w:spacing w:after="160" w:before="360"/>
      </w:pPr>
      <w:r>
        <w:rPr>
          <w:rFonts w:ascii="Arial" w:cs="Arial" w:eastAsia="Arial" w:hAnsi="Arial"/>
          <w:b/>
          <w:bCs/>
          <w:color w:val="332E86"/>
          <w:sz w:val="30"/>
          <w:szCs w:val="30"/>
        </w:rPr>
        <w:t xml:space="preserve">4. Contenu des annexes</w:t>
      </w:r>
    </w:p>
    <w:p>
      <w:pPr>
        <w:spacing w:after="120" w:line="288"/>
      </w:pPr>
      <w:r>
        <w:rPr>
          <w:rFonts w:ascii="Arial" w:cs="Arial" w:eastAsia="Arial" w:hAnsi="Arial"/>
          <w:sz w:val="21"/>
          <w:szCs w:val="21"/>
        </w:rPr>
        <w:t xml:space="preserve">Principe : le corps du mémoire contient ce qui est nécessaire pour comprendre le travail ; l’annexe contient les preuves et les références que le jury peut consulter sans qu’elles alourdissent la lecture. Chaque annexe est citée dans le texte (« voir l’annexe B »). Remplacez le texte d’attente par une page « Liste des annexes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626"/>
      </w:tblGrid>
      <w:tr>
        <w:trPr>
          <w:tblHeader/>
        </w:trPr>
        <w:tc>
          <w:tcPr>
            <w:tcW w:type="dxa" w:w="11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Annexe</w:t>
            </w:r>
          </w:p>
        </w:tc>
        <w:tc>
          <w:tcPr>
            <w:tcW w:type="dxa" w:w="33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Contenu</w:t>
            </w:r>
          </w:p>
        </w:tc>
        <w:tc>
          <w:tcPr>
            <w:tcW w:type="dxa" w:w="46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Pourquoi en annexe</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A</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Matrice des actions de l’administrateur : écran, actions, routes de l’API</w:t>
            </w:r>
          </w:p>
        </w:tc>
        <w:tc>
          <w:tcPr>
            <w:tcW w:type="dxa" w:w="4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Référence complète des droits d’administration ; appuie la règle de gestion RG 44. Tableau prêt ci-dessous.</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B</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Captures complémentaires du back-office : équivalences, offres, utilisateurs, réservations, conflits, avis, plans, fiche de salle</w:t>
            </w:r>
          </w:p>
        </w:tc>
        <w:tc>
          <w:tcPr>
            <w:tcW w:type="dxa" w:w="46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Les 5 écrans principaux sont dans le corps ; les autres complètent sans surcharger.</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C</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Extraits de code complémentaires : AdminGuard, reinstateTutor, documentUrl, DecisionBar</w:t>
            </w:r>
          </w:p>
        </w:tc>
        <w:tc>
          <w:tcPr>
            <w:tcW w:type="dxa" w:w="4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Les deux extraits du corps suffisent à la démonstration ; ceux-ci montrent le reste.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D</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Scénario de test du back-office : 52 vérifications et résultat</w:t>
            </w:r>
          </w:p>
        </w:tc>
        <w:tc>
          <w:tcPr>
            <w:tcW w:type="dxa" w:w="46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Preuve du bon fonctionnement. Tableau prêt ci-dessous.</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E</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Rapport d’évaluation du matching (eval/report.md)</w:t>
            </w:r>
          </w:p>
        </w:tc>
        <w:tc>
          <w:tcPr>
            <w:tcW w:type="dxa" w:w="4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Le corps ne cite que le rappel et le nDCG ; le rapport donne la méthode, les coefficients et la sensibilité.</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F</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Fichier .env.example complet</w:t>
            </w:r>
          </w:p>
        </w:tc>
        <w:tc>
          <w:tcPr>
            <w:tcW w:type="dxa" w:w="46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Le tableau 32 est résumé ; le fichier liste toutes les variables, sans aucun secret.</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G</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Guide de démarrage rapide : commandes pour lancer le backend, l’application mobile et le back-office</w:t>
            </w:r>
          </w:p>
        </w:tc>
        <w:tc>
          <w:tcPr>
            <w:tcW w:type="dxa" w:w="4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Aide un lecteur à reproduire l’environnement ; évite d’alourdir 6.1.</w:t>
            </w:r>
          </w:p>
        </w:tc>
      </w:tr>
    </w:tbl>
    <w:p>
      <w:pPr>
        <w:spacing w:after="120" w:line="288"/>
      </w:pPr>
      <w:r>
        <w:rPr>
          <w:rFonts w:ascii="Arial" w:cs="Arial" w:eastAsia="Arial" w:hAnsi="Arial"/>
          <w:b/>
          <w:bCs/>
          <w:sz w:val="21"/>
          <w:szCs w:val="21"/>
        </w:rPr>
        <w:t xml:space="preserve">À ne pas mettre : </w:t>
      </w:r>
      <w:r>
        <w:rPr>
          <w:rFonts w:ascii="Arial" w:cs="Arial" w:eastAsia="Arial" w:hAnsi="Arial"/>
          <w:sz w:val="21"/>
          <w:szCs w:val="21"/>
        </w:rPr>
        <w:t xml:space="preserve">aucun mot de passe ni clé (même de développement), aucune donnée réelle d’utilisateur. Le mot « questionnaires » du texte d’attente n’a de sens que si vous avez mené une enquête : sinon, ne l’ajoutez pas.</w:t>
      </w:r>
    </w:p>
    <w:p>
      <w:pPr>
        <w:pStyle w:val="Heading2"/>
        <w:spacing w:after="120" w:before="240"/>
      </w:pPr>
      <w:r>
        <w:rPr>
          <w:rFonts w:ascii="Arial" w:cs="Arial" w:eastAsia="Arial" w:hAnsi="Arial"/>
          <w:b/>
          <w:bCs/>
          <w:color w:val="211C5E"/>
          <w:sz w:val="25"/>
          <w:szCs w:val="25"/>
        </w:rPr>
        <w:t xml:space="preserve">Annexe A : matrice des actions de l’administrateur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126"/>
      </w:tblGrid>
      <w:tr>
        <w:trPr>
          <w:tblHeader/>
        </w:trPr>
        <w:tc>
          <w:tcPr>
            <w:tcW w:type="dxa" w:w="19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Écran</w:t>
            </w:r>
          </w:p>
        </w:tc>
        <w:tc>
          <w:tcPr>
            <w:tcW w:type="dxa" w:w="40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Actions</w:t>
            </w:r>
          </w:p>
        </w:tc>
        <w:tc>
          <w:tcPr>
            <w:tcW w:type="dxa" w:w="31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Routes (préfixe /api)</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Tableau de bord</w:t>
            </w:r>
          </w:p>
        </w:tc>
        <w:tc>
          <w:tcPr>
            <w:tcW w:type="dxa" w:w="4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File « à traiter », compteurs, réindexation de tous les tuteurs</w:t>
            </w:r>
          </w:p>
        </w:tc>
        <w:tc>
          <w:tcPr>
            <w:tcW w:type="dxa" w:w="3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/admin/dashboard ; POST /admin/matching/reindex</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Dossiers tuteurs</w:t>
            </w:r>
          </w:p>
        </w:tc>
        <w:tc>
          <w:tcPr>
            <w:tcW w:type="dxa" w:w="4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Ouvrir et approuver ou refuser un justificatif ; valider ou retirer le niveau académique ; appliquer une équivalence ; approuver ou refuser le dossier ; suspendre ou rétablir un tuteur ; réindexer un tuteur</w:t>
            </w:r>
          </w:p>
        </w:tc>
        <w:tc>
          <w:tcPr>
            <w:tcW w:type="dxa" w:w="3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/admin/tutor-applications ; POST /admin/tutor-applications/:id/(approve | reject | degree-equivalence) ; GET /admin/tutor-documents/:id/url ; POST /admin/tutor-documents/:id/review ; PUT et DELETE /admin/tutors/:id/academic-level ; POST /admin/tutors/:id/(suspend | reinstate | reindex)</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Équivalences de diplômes</w:t>
            </w:r>
          </w:p>
        </w:tc>
        <w:tc>
          <w:tcPr>
            <w:tcW w:type="dxa" w:w="4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Lister, créer, trancher</w:t>
            </w:r>
          </w:p>
        </w:tc>
        <w:tc>
          <w:tcPr>
            <w:tcW w:type="dxa" w:w="3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et POST /admin/degree-equivalences ; PATCH /admin/degree-equivalences/:id</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Offres de cours</w:t>
            </w:r>
          </w:p>
        </w:tc>
        <w:tc>
          <w:tcPr>
            <w:tcW w:type="dxa" w:w="4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Retirer ou rétablir une offre</w:t>
            </w:r>
          </w:p>
        </w:tc>
        <w:tc>
          <w:tcPr>
            <w:tcW w:type="dxa" w:w="3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/admin/offers ; POST /admin/offers/:id/moderation</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Utilisateurs</w:t>
            </w:r>
          </w:p>
        </w:tc>
        <w:tc>
          <w:tcPr>
            <w:tcW w:type="dxa" w:w="4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Suspendre ou réactiver un compte</w:t>
            </w:r>
          </w:p>
        </w:tc>
        <w:tc>
          <w:tcPr>
            <w:tcW w:type="dxa" w:w="3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/admin/users ; POST /admin/users/:id/status</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Réservations</w:t>
            </w:r>
          </w:p>
        </w:tc>
        <w:tc>
          <w:tcPr>
            <w:tcW w:type="dxa" w:w="4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Consultation seule</w:t>
            </w:r>
          </w:p>
        </w:tc>
        <w:tc>
          <w:tcPr>
            <w:tcW w:type="dxa" w:w="3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/admin/bookings ; GET /admin/partners/reservations</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Conflits</w:t>
            </w:r>
          </w:p>
        </w:tc>
        <w:tc>
          <w:tcPr>
            <w:tcW w:type="dxa" w:w="4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Résoudre avec une note ; classer sans suite</w:t>
            </w:r>
          </w:p>
        </w:tc>
        <w:tc>
          <w:tcPr>
            <w:tcW w:type="dxa" w:w="3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/admin/conflicts ; POST /admin/conflicts/:id/(resolve | dismiss)</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Structures</w:t>
            </w:r>
          </w:p>
        </w:tc>
        <w:tc>
          <w:tcPr>
            <w:tcW w:type="dxa" w:w="4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Examiner, demander des corrections, valider, refuser, suspendre, désactiver, rétablir ; activer ou annuler l’offre commerciale</w:t>
            </w:r>
          </w:p>
        </w:tc>
        <w:tc>
          <w:tcPr>
            <w:tcW w:type="dxa" w:w="3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/admin/partners/venues ; POST /admin/partners/venues/:id/review ; POST /admin/partners/venues/:id/subscription/(activate | cancel)</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Salles</w:t>
            </w:r>
          </w:p>
        </w:tc>
        <w:tc>
          <w:tcPr>
            <w:tcW w:type="dxa" w:w="4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Mêmes décisions sauf désactiver ; retirer de la publication ou lever le retrait</w:t>
            </w:r>
          </w:p>
        </w:tc>
        <w:tc>
          <w:tcPr>
            <w:tcW w:type="dxa" w:w="3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/admin/partners/rooms ; POST /admin/partners/rooms/:id/(review | publication)</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Avis sur les salles</w:t>
            </w:r>
          </w:p>
        </w:tc>
        <w:tc>
          <w:tcPr>
            <w:tcW w:type="dxa" w:w="4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Masquer avec un motif ; rétablir</w:t>
            </w:r>
          </w:p>
        </w:tc>
        <w:tc>
          <w:tcPr>
            <w:tcW w:type="dxa" w:w="3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/admin/partners/room-reviews ; POST /admin/partners/room-reviews/:id/(hide | unhide)</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Offres commerciales</w:t>
            </w:r>
          </w:p>
        </w:tc>
        <w:tc>
          <w:tcPr>
            <w:tcW w:type="dxa" w:w="4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Créer et modifier les plans</w:t>
            </w:r>
          </w:p>
        </w:tc>
        <w:tc>
          <w:tcPr>
            <w:tcW w:type="dxa" w:w="3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et POST /admin/partners/plans ; PATCH /admin/partners/plans/:id</w:t>
            </w:r>
          </w:p>
        </w:tc>
      </w:tr>
    </w:tbl>
    <w:p>
      <w:pPr>
        <w:spacing w:after="80"/>
      </w:pPr>
    </w:p>
    <w:p>
      <w:pPr>
        <w:spacing w:after="120" w:line="288"/>
      </w:pPr>
      <w:r>
        <w:rPr>
          <w:rFonts w:ascii="Arial" w:cs="Arial" w:eastAsia="Arial" w:hAnsi="Arial"/>
          <w:b/>
          <w:bCs/>
          <w:sz w:val="21"/>
          <w:szCs w:val="21"/>
        </w:rPr>
        <w:t xml:space="preserve">Ce que l’administrateur ne fait pas : </w:t>
      </w:r>
      <w:r>
        <w:rPr>
          <w:rFonts w:ascii="Arial" w:cs="Arial" w:eastAsia="Arial" w:hAnsi="Arial"/>
          <w:sz w:val="21"/>
          <w:szCs w:val="21"/>
        </w:rPr>
        <w:t xml:space="preserve">changer le rôle d’un utilisateur, modifier le statut d’une réservation, modifier un profil ou une offre. L’API ne le prévoit pas, et le back-office ne le propose donc pas.</w:t>
      </w:r>
    </w:p>
    <w:p>
      <w:pPr>
        <w:pStyle w:val="Heading2"/>
        <w:spacing w:after="120" w:before="240"/>
      </w:pPr>
      <w:r>
        <w:rPr>
          <w:rFonts w:ascii="Arial" w:cs="Arial" w:eastAsia="Arial" w:hAnsi="Arial"/>
          <w:b/>
          <w:bCs/>
          <w:color w:val="211C5E"/>
          <w:sz w:val="25"/>
          <w:szCs w:val="25"/>
        </w:rPr>
        <w:t xml:space="preserve">Annexe D : scénario de test du back-office</w:t>
      </w:r>
    </w:p>
    <w:p>
      <w:pPr>
        <w:spacing w:after="120" w:line="288"/>
      </w:pPr>
      <w:r>
        <w:rPr>
          <w:rFonts w:ascii="Arial" w:cs="Arial" w:eastAsia="Arial" w:hAnsi="Arial"/>
          <w:sz w:val="21"/>
          <w:szCs w:val="21"/>
        </w:rPr>
        <w:t xml:space="preserve">Résultat de l’exécution du 27 octobre 2026 (npm run e2e:admin) : 52 vérifications réussies sur 52, contre une API démarrée sur une base PostgreSQL jetable.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Groupe</w:t>
            </w:r>
          </w:p>
        </w:tc>
        <w:tc>
          <w:tcPr>
            <w:tcW w:type="dxa" w:w="67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Vérifications</w:t>
            </w:r>
          </w:p>
        </w:tc>
      </w:tr>
      <w:tr>
        <w:trPr>
          <w:cantSplit/>
        </w:trPr>
        <w:tc>
          <w:tcPr>
            <w:tcW w:type="dxa" w:w="2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Connexion et session</w:t>
            </w:r>
          </w:p>
        </w:tc>
        <w:tc>
          <w:tcPr>
            <w:tcW w:type="dxa" w:w="67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Mauvais mot de passe refusé ; connexion de l’administrateur ; compte ordinaire refusé par le back-office ; session conservée ; jeton expiré renouvelé automatiquement ; déconnexion qui efface les jetons.</w:t>
            </w:r>
          </w:p>
        </w:tc>
      </w:tr>
      <w:tr>
        <w:trPr>
          <w:cantSplit/>
        </w:trPr>
        <w:tc>
          <w:tcPr>
            <w:tcW w:type="dxa" w:w="2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Tableau de bord</w:t>
            </w:r>
          </w:p>
        </w:tc>
        <w:tc>
          <w:tcPr>
            <w:tcW w:type="dxa" w:w="67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Un dossier en attente est compté.</w:t>
            </w:r>
          </w:p>
        </w:tc>
      </w:tr>
      <w:tr>
        <w:trPr>
          <w:cantSplit/>
        </w:trPr>
        <w:tc>
          <w:tcPr>
            <w:tcW w:type="dxa" w:w="2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Dossier d’un tuteur</w:t>
            </w:r>
          </w:p>
        </w:tc>
        <w:tc>
          <w:tcPr>
            <w:tcW w:type="dxa" w:w="67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Dossier listé avec expériences et justificatifs ; mention de ce que vaut chaque approbation ; lien de lecture du justificatif ; approbation d’un diplôme refusée sans attestation ; statuts des justificatifs mis à jour ; niveaux du catalogue ; équivalence créée puis proposée sur le dossier puis appliquée (plus haut diplôme et niveau validé mis à jour) ; niveau modifié ; niveau Doctorat refusé sans justification ; validation retirée ; dossier approuvé ; seconde approbation refusée.</w:t>
            </w:r>
          </w:p>
        </w:tc>
      </w:tr>
      <w:tr>
        <w:trPr>
          <w:cantSplit/>
        </w:trPr>
        <w:tc>
          <w:tcPr>
            <w:tcW w:type="dxa" w:w="2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Offres</w:t>
            </w:r>
          </w:p>
        </w:tc>
        <w:tc>
          <w:tcPr>
            <w:tcW w:type="dxa" w:w="67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Offre retrouvée par recherche ; offre retirée ; offre rétablie.</w:t>
            </w:r>
          </w:p>
        </w:tc>
      </w:tr>
      <w:tr>
        <w:trPr>
          <w:cantSplit/>
        </w:trPr>
        <w:tc>
          <w:tcPr>
            <w:tcW w:type="dxa" w:w="2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Réservations</w:t>
            </w:r>
          </w:p>
        </w:tc>
        <w:tc>
          <w:tcPr>
            <w:tcW w:type="dxa" w:w="67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Réservation listée avec noms et montants ; filtre par statut.</w:t>
            </w:r>
          </w:p>
        </w:tc>
      </w:tr>
      <w:tr>
        <w:trPr>
          <w:cantSplit/>
        </w:trPr>
        <w:tc>
          <w:tcPr>
            <w:tcW w:type="dxa" w:w="2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Suspension et conflits</w:t>
            </w:r>
          </w:p>
        </w:tc>
        <w:tc>
          <w:tcPr>
            <w:tcW w:type="dxa" w:w="67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Suspension avec une séance à venir signalée ; conflit « tuteur suspendu » ouvert ; conflit compté dans la réservation ; conflit résolu avec note et auteur ; tuteur suspendu visible ; réindexation d’un tuteur ; suspension levée ; tuteur de nouveau actif ; levée d’une suspension inexistante refusée.</w:t>
            </w:r>
          </w:p>
        </w:tc>
      </w:tr>
      <w:tr>
        <w:trPr>
          <w:cantSplit/>
        </w:trPr>
        <w:tc>
          <w:tcPr>
            <w:tcW w:type="dxa" w:w="2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Utilisateurs</w:t>
            </w:r>
          </w:p>
        </w:tc>
        <w:tc>
          <w:tcPr>
            <w:tcW w:type="dxa" w:w="67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Utilisateur retrouvé par recherche ; compte suspendu.</w:t>
            </w:r>
          </w:p>
        </w:tc>
      </w:tr>
      <w:tr>
        <w:trPr>
          <w:cantSplit/>
        </w:trPr>
        <w:tc>
          <w:tcPr>
            <w:tcW w:type="dxa" w:w="2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Lieux partenaires</w:t>
            </w:r>
          </w:p>
        </w:tc>
        <w:tc>
          <w:tcPr>
            <w:tcW w:type="dxa" w:w="67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Structure soumise listée ; fiche avec justificatif et offre non choisie ; refus sans motif refusé ; structure validée ; fiche de salle avec adresse exacte, non réservable ; salle validée ; salle retirée de la publication puis retrait levé ; salle suspendue ; historique des décisions ; salle listée par statut ; réservations de salle et avis (listes vides, forme correcte).</w:t>
            </w:r>
          </w:p>
        </w:tc>
      </w:tr>
      <w:tr>
        <w:trPr>
          <w:cantSplit/>
        </w:trPr>
        <w:tc>
          <w:tcPr>
            <w:tcW w:type="dxa" w:w="2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Plans</w:t>
            </w:r>
          </w:p>
        </w:tc>
        <w:tc>
          <w:tcPr>
            <w:tcW w:type="dxa" w:w="67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Plan créé ; plan modifié.</w:t>
            </w:r>
          </w:p>
        </w:tc>
      </w:tr>
    </w:tbl>
    <w:p>
      <w:pPr>
        <w:spacing w:after="80"/>
      </w:pPr>
    </w:p>
    <w:p>
      <w:pPr>
        <w:spacing w:after="120" w:line="288"/>
      </w:pPr>
      <w:r>
        <w:rPr>
          <w:rFonts w:ascii="Arial" w:cs="Arial" w:eastAsia="Arial" w:hAnsi="Arial"/>
          <w:b/>
          <w:bCs/>
          <w:sz w:val="21"/>
          <w:szCs w:val="21"/>
        </w:rPr>
        <w:t xml:space="preserve">Limite à signaler honnêtement dans le mémoire : </w:t>
      </w:r>
      <w:r>
        <w:rPr>
          <w:rFonts w:ascii="Arial" w:cs="Arial" w:eastAsia="Arial" w:hAnsi="Arial"/>
          <w:sz w:val="21"/>
          <w:szCs w:val="21"/>
        </w:rPr>
        <w:t xml:space="preserve">ces vérifications portent sur le client et l’API. Le rendu visuel des écrans n’est pas testé automatiquement ; les captures du chapitre en tiennent lieu.</w:t>
      </w:r>
    </w:p>
    <w:p>
      <w:pPr>
        <w:pStyle w:val="Heading1"/>
        <w:spacing w:after="160" w:before="360"/>
      </w:pPr>
      <w:r>
        <w:rPr>
          <w:rFonts w:ascii="Arial" w:cs="Arial" w:eastAsia="Arial" w:hAnsi="Arial"/>
          <w:b/>
          <w:bCs/>
          <w:color w:val="332E86"/>
          <w:sz w:val="30"/>
          <w:szCs w:val="30"/>
        </w:rPr>
        <w:t xml:space="preserve">5. Ordre de travail conseillé</w:t>
      </w:r>
    </w:p>
    <w:p>
      <w:pPr>
        <w:pStyle w:val="ListParagraph"/>
        <w:numPr>
          <w:ilvl w:val="0"/>
          <w:numId w:val="2"/>
        </w:numPr>
        <w:spacing w:after="60" w:line="276"/>
      </w:pPr>
      <w:r>
        <w:rPr>
          <w:rFonts w:ascii="Arial" w:cs="Arial" w:eastAsia="Arial" w:hAnsi="Arial"/>
          <w:sz w:val="21"/>
          <w:szCs w:val="21"/>
        </w:rPr>
        <w:t xml:space="preserve">1. Corriger les chiffres de tests (140) et le tableau 36, remplacer la figure 44, nettoyer l’annexe.</w:t>
      </w:r>
    </w:p>
    <w:p>
      <w:pPr>
        <w:pStyle w:val="ListParagraph"/>
        <w:numPr>
          <w:ilvl w:val="0"/>
          <w:numId w:val="2"/>
        </w:numPr>
        <w:spacing w:after="60" w:line="276"/>
      </w:pPr>
      <w:r>
        <w:rPr>
          <w:rFonts w:ascii="Arial" w:cs="Arial" w:eastAsia="Arial" w:hAnsi="Arial"/>
          <w:sz w:val="21"/>
          <w:szCs w:val="21"/>
        </w:rPr>
        <w:t xml:space="preserve">2. Ajouter les sous-sections 3.1, 3.3, 3.4 et la section 3.5 ; compléter les tableaux 7, 9, 21 et la ligne du sprint 7.</w:t>
      </w:r>
    </w:p>
    <w:p>
      <w:pPr>
        <w:pStyle w:val="ListParagraph"/>
        <w:numPr>
          <w:ilvl w:val="0"/>
          <w:numId w:val="2"/>
        </w:numPr>
        <w:spacing w:after="60" w:line="276"/>
      </w:pPr>
      <w:r>
        <w:rPr>
          <w:rFonts w:ascii="Arial" w:cs="Arial" w:eastAsia="Arial" w:hAnsi="Arial"/>
          <w:sz w:val="21"/>
          <w:szCs w:val="21"/>
        </w:rPr>
        <w:t xml:space="preserve">3. Faire les captures du back-office et les 2 extraits de code ; refaire la figure 24.</w:t>
      </w:r>
    </w:p>
    <w:p>
      <w:pPr>
        <w:pStyle w:val="ListParagraph"/>
        <w:numPr>
          <w:ilvl w:val="0"/>
          <w:numId w:val="2"/>
        </w:numPr>
        <w:spacing w:after="60" w:line="276"/>
      </w:pPr>
      <w:r>
        <w:rPr>
          <w:rFonts w:ascii="Arial" w:cs="Arial" w:eastAsia="Arial" w:hAnsi="Arial"/>
          <w:sz w:val="21"/>
          <w:szCs w:val="21"/>
        </w:rPr>
        <w:t xml:space="preserve">4. Constituer les annexes A à G.</w:t>
      </w:r>
    </w:p>
    <w:p>
      <w:pPr>
        <w:pStyle w:val="ListParagraph"/>
        <w:numPr>
          <w:ilvl w:val="0"/>
          <w:numId w:val="2"/>
        </w:numPr>
        <w:spacing w:after="60" w:line="276"/>
      </w:pPr>
      <w:r>
        <w:rPr>
          <w:rFonts w:ascii="Arial" w:cs="Arial" w:eastAsia="Arial" w:hAnsi="Arial"/>
          <w:sz w:val="21"/>
          <w:szCs w:val="21"/>
        </w:rPr>
        <w:t xml:space="preserve">5. En dernier : corriger tous les renvois (§2.3), puis mettre à jour la table des matières, la liste des figures et la liste des tableaux (clic droit &gt; Mettre à jour le champ).</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r>
    <w:r>
      <w:rPr>
        <w:rFonts w:ascii="Arial" w:cs="Arial" w:eastAsia="Arial" w:hAnsi="Arial"/>
        <w:color w:val="888888"/>
        <w:sz w:val="16"/>
        <w:szCs w:val="16"/>
      </w:rPr>
      <w:instrText xml:space="preserve">PAGE</w:instrText>
    </w:r>
    <w:r>
      <w:rPr>
        <w:rFonts w:ascii="Arial" w:cs="Arial" w:eastAsia="Arial" w:hAnsi="Arial"/>
        <w:color w:val="888888"/>
        <w:sz w:val="16"/>
        <w:szCs w:val="16"/>
      </w:rPr>
      <w:fldChar w:fldCharType="separate"/>
    </w:r>
    <w:r>
      <w:rPr>
        <w:rFonts w:ascii="Arial" w:cs="Arial" w:eastAsia="Arial" w:hAnsi="Arial"/>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Propositions pour le mémoire EduLoc : back-office et annexes</dc:title>
  <dc:creator>EduLoc</dc:creator>
  <cp:lastModifiedBy>Un-named</cp:lastModifiedBy>
  <cp:revision>1</cp:revision>
  <dcterms:created xsi:type="dcterms:W3CDTF">2026-10-27T16:55:40.113Z</dcterms:created>
  <dcterms:modified xsi:type="dcterms:W3CDTF">2026-10-27T16:55:40.114Z</dcterms:modified>
</cp:coreProperties>
</file>

<file path=docProps/custom.xml><?xml version="1.0" encoding="utf-8"?>
<Properties xmlns="http://schemas.openxmlformats.org/officeDocument/2006/custom-properties" xmlns:vt="http://schemas.openxmlformats.org/officeDocument/2006/docPropsVTypes"/>
</file>