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332E86"/>
          <w:sz w:val="40"/>
          <w:szCs w:val="40"/>
        </w:rPr>
        <w:t xml:space="preserve">Tableaux du mémoire EduLoc</w:t>
      </w:r>
    </w:p>
    <w:p>
      <w:pPr>
        <w:spacing w:after="200"/>
      </w:pPr>
      <w:r>
        <w:rPr>
          <w:rFonts w:ascii="Arial" w:cs="Arial" w:eastAsia="Arial" w:hAnsi="Arial"/>
          <w:color w:val="555566"/>
          <w:sz w:val="26"/>
          <w:szCs w:val="26"/>
        </w:rPr>
        <w:t xml:space="preserve">Recueil des tableaux de « Memoire REDACTION edUloc.docx », mis en forme dans le style des propositions</w:t>
      </w:r>
    </w:p>
    <w:p>
      <w:pPr>
        <w:spacing w:after="120" w:line="288"/>
      </w:pPr>
      <w:r>
        <w:rPr>
          <w:rFonts w:ascii="Arial" w:cs="Arial" w:eastAsia="Arial" w:hAnsi="Arial"/>
          <w:sz w:val="21"/>
          <w:szCs w:val="21"/>
        </w:rPr>
        <w:t xml:space="preserve">36 tableaux numérotés, repris tels quels du mémoire (version du 28 octobre 2026), suivis de 2 tableaux sans numéro (abréviations et connaissances linguistiques). </w:t>
      </w:r>
      <w:r>
        <w:rPr>
          <w:rFonts w:ascii="Arial" w:cs="Arial" w:eastAsia="Arial" w:hAnsi="Arial"/>
          <w:sz w:val="21"/>
          <w:szCs w:val="21"/>
        </w:rPr>
        <w:t xml:space="preserve">La page de garde contient aussi un tableau, qui ne sert qu’à la mise en page : il n’est pas repris. Le contenu des cellules n’a pas été modifié ; seuls la mise en forme et les largeurs de colonnes changent. Les numéros sont ceux affichés dans le mémoire à la date de l’extraction : ils changeront si vous ajoutez des tableaux.</w:t>
      </w:r>
    </w:p>
    <w:p>
      <w:pPr>
        <w:pStyle w:val="Heading1"/>
        <w:spacing w:after="160" w:before="360"/>
      </w:pPr>
      <w:r>
        <w:rPr>
          <w:rFonts w:ascii="Arial" w:cs="Arial" w:eastAsia="Arial" w:hAnsi="Arial"/>
          <w:b/>
          <w:bCs/>
          <w:color w:val="332E86"/>
          <w:sz w:val="30"/>
          <w:szCs w:val="30"/>
        </w:rPr>
        <w:t xml:space="preserve">Liste des tableaux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26"/>
        <w:gridCol w:w="3300"/>
      </w:tblGrid>
      <w:tr>
        <w:trPr>
          <w:tblHeader/>
        </w:trPr>
        <w:tc>
          <w:tcPr>
            <w:tcW w:type="dxa" w:w="9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N°</w:t>
            </w:r>
          </w:p>
        </w:tc>
        <w:tc>
          <w:tcPr>
            <w:tcW w:type="dxa" w:w="48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Titre</w:t>
            </w:r>
          </w:p>
        </w:tc>
        <w:tc>
          <w:tcPr>
            <w:tcW w:type="dxa" w:w="33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Section du mémoire</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1</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Organisation du système de formation pédagogique de l’Ecole</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Domaine de spécialisation</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2</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Mention et parcours au sein de l’ENI</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Architecture des formations pédagogiques</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3</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Liste des formations existantes à l’ENI</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Architecture des formations pédagogiques</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4</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Débouchés éventuels des jeunes diplômés</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Débouchés professionnels et diplômés</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5</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Sites d’activité de ILON’ALA</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Domaines d’activités</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6</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Liste des moyens matériels</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Moyens matériels</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7</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Liste des moyens logiciels</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Moyens logiciels</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8</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Inventaire des moyens matériels</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Moyens matériels</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9</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Inventaire des moyens logiciels</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Moyens logiciels</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10</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Comparaison des solutions proposées</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4.3.1. Proposition des solutions</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11</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Comparaison des méthodes de conception</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4.3.2. Méthodes de conception et outils utilisés</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12</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Comparaison des méthodes AGILE</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4.3.2. Méthodes de conception et outils utilisés</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13</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Comparaison entre MERISE et 2TUP</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Choix de la méthode d’analyse et de conception</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14</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Comparaison des outils de modelisation UML</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Outil de modélisation</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15</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Comparaison de SGBD</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Choix du SGBD</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16</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Comparaison des langages de programmation backend</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Choix du langage de programmation backend</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17</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Comparaison des frameworks backend</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Choix du framework backend</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18</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Comparaison des technologies de développement mobile</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Langage et technologie Frontend</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19</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Choix de système de version</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Choix du logiciel de gestion de version</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20</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Les rôles des équipes SCRUM</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Désignation des rôles de l'équipe SCRUM</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21</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Détails sur les acteurs du système</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Identification des acteurs</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22</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Détails sur les thèmes fonctionnels</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Thèmes</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23</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User Stories principales du projet</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User Stories</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24</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Product Backlog du projet EduLoc</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Product Backlog</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25</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Proposition de répartition des éléments du Product Backlog</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Présentation du travail à faire</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26</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Modèle de planification d’un sprint</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Planification du sprint</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27</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Dictionnaire des données</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5.5. Dictionnaire des données</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28</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Règles de gestion</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5.6. Règles de gestion</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29</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Description des paquetages</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5.10. Diagramme de paquetage</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30</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Nœuds et composants du déploiement</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5.11. Diagramme de déploiement</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31</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Services de l’environnement Docker Compose</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Services conteneurisés avec Docker Compose</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32</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Principales variables d’environnement du backend</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Backend NestJS</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33</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Couches de l’architecture et responsabilités</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Architecture de l'application</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34</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Migrations de la base de données</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Création de la base de données</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35</w:t>
            </w:r>
          </w:p>
        </w:tc>
        <w:tc>
          <w:tcPr>
            <w:tcW w:type="dxa" w:w="48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Contraintes d’intégrité et index écrits en SQL</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Création de la base de données</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36</w:t>
            </w:r>
          </w:p>
        </w:tc>
        <w:tc>
          <w:tcPr>
            <w:tcW w:type="dxa" w:w="4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Suites de tests</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Tests</w:t>
            </w:r>
          </w:p>
        </w:tc>
      </w:tr>
    </w:tbl>
    <w:p>
      <w:pPr>
        <w:pStyle w:val="Heading1"/>
        <w:spacing w:after="160" w:before="360"/>
      </w:pPr>
      <w:r>
        <w:rPr>
          <w:rFonts w:ascii="Arial" w:cs="Arial" w:eastAsia="Arial" w:hAnsi="Arial"/>
          <w:b/>
          <w:bCs/>
          <w:color w:val="332E86"/>
          <w:sz w:val="30"/>
          <w:szCs w:val="30"/>
        </w:rPr>
        <w:t xml:space="preserve">Tableaux numérotés</w:t>
      </w:r>
    </w:p>
    <w:p>
      <w:pPr>
        <w:keepNext/>
        <w:spacing w:after="40" w:before="240"/>
      </w:pPr>
      <w:r>
        <w:rPr>
          <w:rFonts w:ascii="Arial" w:cs="Arial" w:eastAsia="Arial" w:hAnsi="Arial"/>
          <w:b/>
          <w:bCs/>
          <w:color w:val="332E86"/>
          <w:sz w:val="21"/>
          <w:szCs w:val="21"/>
        </w:rPr>
        <w:t xml:space="preserve">Tableau 1 : Organisation du système de formation pédagogique de l’Ecole</w:t>
      </w:r>
    </w:p>
    <w:p>
      <w:pPr>
        <w:keepNext/>
        <w:spacing w:after="80"/>
      </w:pPr>
      <w:r>
        <w:rPr>
          <w:rFonts w:ascii="Arial" w:cs="Arial" w:eastAsia="Arial" w:hAnsi="Arial"/>
          <w:color w:val="777788"/>
          <w:sz w:val="17"/>
          <w:szCs w:val="17"/>
        </w:rPr>
        <w:t xml:space="preserve">Section : Domaine de spécialisation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7"/>
        <w:gridCol w:w="4519"/>
      </w:tblGrid>
      <w:tr>
        <w:trPr>
          <w:tblHeader/>
        </w:trPr>
        <w:tc>
          <w:tcPr>
            <w:tcW w:type="dxa" w:w="4507"/>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Formation Théorique</w:t>
            </w:r>
          </w:p>
        </w:tc>
        <w:tc>
          <w:tcPr>
            <w:tcW w:type="dxa" w:w="4519"/>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Formation Pratique</w:t>
            </w:r>
          </w:p>
        </w:tc>
      </w:tr>
      <w:tr>
        <w:trPr>
          <w:cantSplit/>
        </w:trPr>
        <w:tc>
          <w:tcPr>
            <w:tcW w:type="dxa" w:w="450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pStyle w:val="ListParagraph"/>
              <w:numPr>
                <w:ilvl w:val="0"/>
                <w:numId w:val="2"/>
              </w:numPr>
              <w:spacing w:after="40"/>
            </w:pPr>
            <w:r>
              <w:rPr>
                <w:rFonts w:ascii="Arial" w:cs="Arial" w:eastAsia="Arial" w:hAnsi="Arial"/>
                <w:b/>
                <w:bCs/>
                <w:sz w:val="18"/>
                <w:szCs w:val="18"/>
              </w:rPr>
              <w:t xml:space="preserve">Enseignement théorique</w:t>
            </w:r>
          </w:p>
          <w:p>
            <w:pPr>
              <w:pStyle w:val="ListParagraph"/>
              <w:numPr>
                <w:ilvl w:val="0"/>
                <w:numId w:val="2"/>
              </w:numPr>
              <w:spacing w:after="40"/>
            </w:pPr>
            <w:r>
              <w:rPr>
                <w:rFonts w:ascii="Arial" w:cs="Arial" w:eastAsia="Arial" w:hAnsi="Arial"/>
                <w:b/>
                <w:bCs/>
                <w:sz w:val="18"/>
                <w:szCs w:val="18"/>
              </w:rPr>
              <w:t xml:space="preserve">Travaux dirigés</w:t>
            </w:r>
          </w:p>
          <w:p>
            <w:pPr>
              <w:pStyle w:val="ListParagraph"/>
              <w:numPr>
                <w:ilvl w:val="0"/>
                <w:numId w:val="2"/>
              </w:numPr>
              <w:spacing w:after="40"/>
            </w:pPr>
            <w:r>
              <w:rPr>
                <w:rFonts w:ascii="Arial" w:cs="Arial" w:eastAsia="Arial" w:hAnsi="Arial"/>
                <w:b/>
                <w:bCs/>
                <w:sz w:val="18"/>
                <w:szCs w:val="18"/>
              </w:rPr>
              <w:t xml:space="preserve">Travaux pratiques</w:t>
            </w:r>
          </w:p>
          <w:p>
            <w:pPr>
              <w:pStyle w:val="ListParagraph"/>
              <w:numPr>
                <w:ilvl w:val="0"/>
                <w:numId w:val="2"/>
              </w:numPr>
              <w:spacing w:after="40"/>
            </w:pPr>
            <w:r>
              <w:rPr>
                <w:rFonts w:ascii="Arial" w:cs="Arial" w:eastAsia="Arial" w:hAnsi="Arial"/>
                <w:b/>
                <w:bCs/>
                <w:sz w:val="18"/>
                <w:szCs w:val="18"/>
              </w:rPr>
              <w:t xml:space="preserve">Conférences</w:t>
            </w:r>
          </w:p>
        </w:tc>
        <w:tc>
          <w:tcPr>
            <w:tcW w:type="dxa" w:w="451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pStyle w:val="ListParagraph"/>
              <w:numPr>
                <w:ilvl w:val="0"/>
                <w:numId w:val="2"/>
              </w:numPr>
              <w:spacing w:after="40"/>
            </w:pPr>
            <w:r>
              <w:rPr>
                <w:rFonts w:ascii="Arial" w:cs="Arial" w:eastAsia="Arial" w:hAnsi="Arial"/>
                <w:b w:val="false"/>
                <w:bCs w:val="false"/>
                <w:sz w:val="18"/>
                <w:szCs w:val="18"/>
              </w:rPr>
              <w:t xml:space="preserve">Etude de cas</w:t>
            </w:r>
          </w:p>
          <w:p>
            <w:pPr>
              <w:pStyle w:val="ListParagraph"/>
              <w:numPr>
                <w:ilvl w:val="0"/>
                <w:numId w:val="2"/>
              </w:numPr>
              <w:spacing w:after="40"/>
            </w:pPr>
            <w:r>
              <w:rPr>
                <w:rFonts w:ascii="Arial" w:cs="Arial" w:eastAsia="Arial" w:hAnsi="Arial"/>
                <w:b w:val="false"/>
                <w:bCs w:val="false"/>
                <w:sz w:val="18"/>
                <w:szCs w:val="18"/>
              </w:rPr>
              <w:t xml:space="preserve">Travaux de réalisation</w:t>
            </w:r>
          </w:p>
          <w:p>
            <w:pPr>
              <w:pStyle w:val="ListParagraph"/>
              <w:numPr>
                <w:ilvl w:val="0"/>
                <w:numId w:val="2"/>
              </w:numPr>
              <w:spacing w:after="40"/>
            </w:pPr>
            <w:r>
              <w:rPr>
                <w:rFonts w:ascii="Arial" w:cs="Arial" w:eastAsia="Arial" w:hAnsi="Arial"/>
                <w:b w:val="false"/>
                <w:bCs w:val="false"/>
                <w:sz w:val="18"/>
                <w:szCs w:val="18"/>
              </w:rPr>
              <w:t xml:space="preserve">Projets/ Projets tutorés</w:t>
            </w:r>
          </w:p>
          <w:p>
            <w:pPr>
              <w:pStyle w:val="ListParagraph"/>
              <w:numPr>
                <w:ilvl w:val="0"/>
                <w:numId w:val="2"/>
              </w:numPr>
              <w:spacing w:after="40"/>
            </w:pPr>
            <w:r>
              <w:rPr>
                <w:rFonts w:ascii="Arial" w:cs="Arial" w:eastAsia="Arial" w:hAnsi="Arial"/>
                <w:b w:val="false"/>
                <w:bCs w:val="false"/>
                <w:sz w:val="18"/>
                <w:szCs w:val="18"/>
              </w:rPr>
              <w:t xml:space="preserve">Voyages d’Etudes</w:t>
            </w:r>
          </w:p>
          <w:p>
            <w:pPr>
              <w:pStyle w:val="ListParagraph"/>
              <w:numPr>
                <w:ilvl w:val="0"/>
                <w:numId w:val="2"/>
              </w:numPr>
              <w:spacing w:after="40"/>
            </w:pPr>
            <w:r>
              <w:rPr>
                <w:rFonts w:ascii="Arial" w:cs="Arial" w:eastAsia="Arial" w:hAnsi="Arial"/>
                <w:b w:val="false"/>
                <w:bCs w:val="false"/>
                <w:sz w:val="18"/>
                <w:szCs w:val="18"/>
              </w:rPr>
              <w:t xml:space="preserve">Stages en entreprise</w:t>
            </w:r>
          </w:p>
        </w:tc>
      </w:tr>
    </w:tbl>
    <w:p>
      <w:pPr>
        <w:spacing w:after="160"/>
      </w:pPr>
    </w:p>
    <w:p>
      <w:pPr>
        <w:keepNext/>
        <w:spacing w:after="40" w:before="240"/>
      </w:pPr>
      <w:r>
        <w:rPr>
          <w:rFonts w:ascii="Arial" w:cs="Arial" w:eastAsia="Arial" w:hAnsi="Arial"/>
          <w:b/>
          <w:bCs/>
          <w:color w:val="332E86"/>
          <w:sz w:val="21"/>
          <w:szCs w:val="21"/>
        </w:rPr>
        <w:t xml:space="preserve">Tableau 2 : Mention et parcours au sein de l’ENI</w:t>
      </w:r>
    </w:p>
    <w:p>
      <w:pPr>
        <w:keepNext/>
        <w:spacing w:after="80"/>
      </w:pPr>
      <w:r>
        <w:rPr>
          <w:rFonts w:ascii="Arial" w:cs="Arial" w:eastAsia="Arial" w:hAnsi="Arial"/>
          <w:color w:val="777788"/>
          <w:sz w:val="17"/>
          <w:szCs w:val="17"/>
        </w:rPr>
        <w:t xml:space="preserve">Section : Architecture des formations pédagogiques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5"/>
        <w:gridCol w:w="5591"/>
      </w:tblGrid>
      <w:tr>
        <w:trPr>
          <w:tblHeader/>
        </w:trPr>
        <w:tc>
          <w:tcPr>
            <w:tcW w:type="dxa" w:w="3435"/>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Mention</w:t>
            </w:r>
          </w:p>
        </w:tc>
        <w:tc>
          <w:tcPr>
            <w:tcW w:type="dxa" w:w="559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Parcours</w:t>
            </w:r>
          </w:p>
        </w:tc>
      </w:tr>
      <w:tr>
        <w:trPr>
          <w:cantSplit/>
        </w:trPr>
        <w:tc>
          <w:tcPr>
            <w:tcW w:type="dxa" w:w="3435"/>
            <w:vMerge w:val="restart"/>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Informatique</w:t>
            </w:r>
          </w:p>
        </w:tc>
        <w:tc>
          <w:tcPr>
            <w:tcW w:type="dxa" w:w="559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Ingénierie logicielle et systèmes d’information (ILSI)</w:t>
            </w:r>
          </w:p>
        </w:tc>
      </w:tr>
      <w:tr>
        <w:trPr>
          <w:cantSplit/>
        </w:trPr>
        <w:tc>
          <w:tcPr>
            <w:tcW w:type="dxa" w:w="3435"/>
            <w:vMerge w:val="continue"/>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tc>
        <w:tc>
          <w:tcPr>
            <w:tcW w:type="dxa" w:w="559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Ingénierie des systèmes et réseaux informatiques  (ISRI)</w:t>
            </w:r>
          </w:p>
        </w:tc>
      </w:tr>
      <w:tr>
        <w:trPr>
          <w:cantSplit/>
        </w:trPr>
        <w:tc>
          <w:tcPr>
            <w:tcW w:type="dxa" w:w="3435"/>
            <w:vMerge w:val="continue"/>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tc>
        <w:tc>
          <w:tcPr>
            <w:tcW w:type="dxa" w:w="559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Ingénierie des systèmes d’information intégrés  (ISII)</w:t>
            </w:r>
          </w:p>
        </w:tc>
      </w:tr>
      <w:tr>
        <w:trPr>
          <w:cantSplit/>
        </w:trPr>
        <w:tc>
          <w:tcPr>
            <w:tcW w:type="dxa" w:w="3435"/>
            <w:vMerge w:val="restart"/>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Intelligence Artificielle</w:t>
            </w:r>
          </w:p>
        </w:tc>
        <w:tc>
          <w:tcPr>
            <w:tcW w:type="dxa" w:w="559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Gouvernance et Ingénierie de Données (GID)</w:t>
            </w:r>
          </w:p>
        </w:tc>
      </w:tr>
      <w:tr>
        <w:trPr>
          <w:cantSplit/>
        </w:trPr>
        <w:tc>
          <w:tcPr>
            <w:tcW w:type="dxa" w:w="3435"/>
            <w:vMerge w:val="continue"/>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tc>
        <w:tc>
          <w:tcPr>
            <w:tcW w:type="dxa" w:w="559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Objets Connectés et Cyber sécurités (OCC)</w:t>
            </w:r>
          </w:p>
        </w:tc>
      </w:tr>
      <w:tr>
        <w:trPr>
          <w:cantSplit/>
        </w:trPr>
        <w:tc>
          <w:tcPr>
            <w:tcW w:type="dxa" w:w="3435"/>
            <w:vMerge w:val="restart"/>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Expertise Digitale</w:t>
            </w:r>
          </w:p>
        </w:tc>
        <w:tc>
          <w:tcPr>
            <w:tcW w:type="dxa" w:w="559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Métiers du Digital (MDi)</w:t>
            </w:r>
          </w:p>
        </w:tc>
      </w:tr>
      <w:tr>
        <w:trPr>
          <w:cantSplit/>
        </w:trPr>
        <w:tc>
          <w:tcPr>
            <w:tcW w:type="dxa" w:w="3435"/>
            <w:vMerge w:val="continue"/>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tc>
        <w:tc>
          <w:tcPr>
            <w:tcW w:type="dxa" w:w="559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Audit des Systèmes d’Information (ASI)</w:t>
            </w:r>
          </w:p>
        </w:tc>
      </w:tr>
    </w:tbl>
    <w:p>
      <w:pPr>
        <w:spacing w:after="160"/>
      </w:pPr>
    </w:p>
    <w:p>
      <w:pPr>
        <w:keepNext/>
        <w:spacing w:after="40" w:before="240"/>
      </w:pPr>
      <w:r>
        <w:rPr>
          <w:rFonts w:ascii="Arial" w:cs="Arial" w:eastAsia="Arial" w:hAnsi="Arial"/>
          <w:b/>
          <w:bCs/>
          <w:color w:val="332E86"/>
          <w:sz w:val="21"/>
          <w:szCs w:val="21"/>
        </w:rPr>
        <w:t xml:space="preserve">Tableau 3 : Liste des formations existantes à l’ENI</w:t>
      </w:r>
    </w:p>
    <w:p>
      <w:pPr>
        <w:keepNext/>
        <w:spacing w:after="80"/>
      </w:pPr>
      <w:r>
        <w:rPr>
          <w:rFonts w:ascii="Arial" w:cs="Arial" w:eastAsia="Arial" w:hAnsi="Arial"/>
          <w:color w:val="777788"/>
          <w:sz w:val="17"/>
          <w:szCs w:val="17"/>
        </w:rPr>
        <w:t xml:space="preserve">Section : Architecture des formations pédagogiques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9"/>
        <w:gridCol w:w="3141"/>
        <w:gridCol w:w="3796"/>
      </w:tblGrid>
      <w:tr>
        <w:trPr>
          <w:tblHeader/>
        </w:trPr>
        <w:tc>
          <w:tcPr>
            <w:tcW w:type="dxa" w:w="2089"/>
            <w:vMerge w:val="restart"/>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
            </w:r>
          </w:p>
        </w:tc>
        <w:tc>
          <w:tcPr>
            <w:tcW w:type="dxa" w:w="6937"/>
            <w:gridSpan w:val="2"/>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FORMATION</w:t>
            </w:r>
          </w:p>
        </w:tc>
      </w:tr>
      <w:tr>
        <w:trPr>
          <w:tblHeader/>
        </w:trPr>
        <w:tc>
          <w:tcPr>
            <w:tcW w:type="dxa" w:w="2089"/>
            <w:vMerge w:val="continue"/>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tc>
        <w:tc>
          <w:tcPr>
            <w:tcW w:type="dxa" w:w="314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LICENCE PROFESSIONNELLE</w:t>
            </w:r>
          </w:p>
        </w:tc>
        <w:tc>
          <w:tcPr>
            <w:tcW w:type="dxa" w:w="379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MASTER</w:t>
            </w:r>
          </w:p>
        </w:tc>
      </w:tr>
      <w:tr>
        <w:trPr>
          <w:cantSplit/>
        </w:trPr>
        <w:tc>
          <w:tcPr>
            <w:tcW w:type="dxa" w:w="208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Condition admission</w:t>
            </w:r>
          </w:p>
        </w:tc>
        <w:tc>
          <w:tcPr>
            <w:tcW w:type="dxa" w:w="31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Par voie de concours</w:t>
            </w:r>
          </w:p>
        </w:tc>
        <w:tc>
          <w:tcPr>
            <w:tcW w:type="dxa" w:w="379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Par voie de concours pour la mention IA</w:t>
            </w:r>
          </w:p>
        </w:tc>
      </w:tr>
      <w:tr>
        <w:trPr>
          <w:cantSplit/>
        </w:trPr>
        <w:tc>
          <w:tcPr>
            <w:tcW w:type="dxa" w:w="208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Condition d’accès</w:t>
            </w:r>
          </w:p>
        </w:tc>
        <w:tc>
          <w:tcPr>
            <w:tcW w:type="dxa" w:w="31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Bac de série C, D ou Technique</w:t>
            </w:r>
          </w:p>
        </w:tc>
        <w:tc>
          <w:tcPr>
            <w:tcW w:type="dxa" w:w="379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Être titulaire de licence professionnelle</w:t>
            </w:r>
          </w:p>
        </w:tc>
      </w:tr>
      <w:tr>
        <w:trPr>
          <w:cantSplit/>
        </w:trPr>
        <w:tc>
          <w:tcPr>
            <w:tcW w:type="dxa" w:w="208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Durée de Formation</w:t>
            </w:r>
          </w:p>
        </w:tc>
        <w:tc>
          <w:tcPr>
            <w:tcW w:type="dxa" w:w="31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3 ans</w:t>
            </w:r>
          </w:p>
        </w:tc>
        <w:tc>
          <w:tcPr>
            <w:tcW w:type="dxa" w:w="379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 ans</w:t>
            </w:r>
          </w:p>
        </w:tc>
      </w:tr>
      <w:tr>
        <w:trPr>
          <w:cantSplit/>
        </w:trPr>
        <w:tc>
          <w:tcPr>
            <w:tcW w:type="dxa" w:w="208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Diplôme délivré</w:t>
            </w:r>
          </w:p>
        </w:tc>
        <w:tc>
          <w:tcPr>
            <w:tcW w:type="dxa" w:w="31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Diplôme de Licence Professionnelle</w:t>
            </w:r>
          </w:p>
        </w:tc>
        <w:tc>
          <w:tcPr>
            <w:tcW w:type="dxa" w:w="379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Diplôme de Master Professionnel</w:t>
            </w:r>
          </w:p>
          <w:p>
            <w:pPr>
              <w:spacing w:after="40"/>
            </w:pPr>
            <w:r>
              <w:rPr>
                <w:rFonts w:ascii="Arial" w:cs="Arial" w:eastAsia="Arial" w:hAnsi="Arial"/>
                <w:b w:val="false"/>
                <w:bCs w:val="false"/>
                <w:sz w:val="18"/>
                <w:szCs w:val="18"/>
              </w:rPr>
              <w:t xml:space="preserve">Diplôme de Master Recherche</w:t>
            </w:r>
          </w:p>
        </w:tc>
      </w:tr>
    </w:tbl>
    <w:p>
      <w:pPr>
        <w:spacing w:after="160"/>
      </w:pPr>
    </w:p>
    <w:p>
      <w:pPr>
        <w:keepNext/>
        <w:spacing w:after="40" w:before="240"/>
      </w:pPr>
      <w:r>
        <w:rPr>
          <w:rFonts w:ascii="Arial" w:cs="Arial" w:eastAsia="Arial" w:hAnsi="Arial"/>
          <w:b/>
          <w:bCs/>
          <w:color w:val="332E86"/>
          <w:sz w:val="21"/>
          <w:szCs w:val="21"/>
        </w:rPr>
        <w:t xml:space="preserve">Tableau 4 : Débouchés éventuels des jeunes diplômés</w:t>
      </w:r>
    </w:p>
    <w:p>
      <w:pPr>
        <w:keepNext/>
        <w:spacing w:after="80"/>
      </w:pPr>
      <w:r>
        <w:rPr>
          <w:rFonts w:ascii="Arial" w:cs="Arial" w:eastAsia="Arial" w:hAnsi="Arial"/>
          <w:color w:val="777788"/>
          <w:sz w:val="17"/>
          <w:szCs w:val="17"/>
        </w:rPr>
        <w:t xml:space="preserve">Section : Débouchés professionnels et diplômés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1"/>
        <w:gridCol w:w="6095"/>
      </w:tblGrid>
      <w:tr>
        <w:trPr>
          <w:tblHeader/>
        </w:trPr>
        <w:tc>
          <w:tcPr>
            <w:tcW w:type="dxa" w:w="293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Mention</w:t>
            </w:r>
          </w:p>
        </w:tc>
        <w:tc>
          <w:tcPr>
            <w:tcW w:type="dxa" w:w="6095"/>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Débouchés professionnels</w:t>
            </w:r>
          </w:p>
        </w:tc>
      </w:tr>
      <w:tr>
        <w:trPr>
          <w:cantSplit/>
        </w:trPr>
        <w:tc>
          <w:tcPr>
            <w:tcW w:type="dxa" w:w="293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INFORMATIQUE</w:t>
            </w:r>
          </w:p>
        </w:tc>
        <w:tc>
          <w:tcPr>
            <w:tcW w:type="dxa" w:w="609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ILSI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engineer (ingénieur en traitement de données), Analyste programmeur, Analyste fonctionnel, Chef de projet informatique, Scrum master / Product owner (en méthodologie Agile), Ingénieur QA (Quality Assurance), Testeur logiciel / testeur automatisé, Spécialiste maintenance applicative, Expert en refactoring et optimisation de code, Analyste de données (Data analyst), Concepteur d’outils décisionnels (BI), Ingénieur en Big Data, Machine Learning Engineer, Consultant fonctionnel ou freelance</w:t>
            </w:r>
          </w:p>
          <w:p>
            <w:pPr>
              <w:spacing w:after="40"/>
            </w:pPr>
            <w:r>
              <w:rPr>
                <w:rFonts w:ascii="Arial" w:cs="Arial" w:eastAsia="Arial" w:hAnsi="Arial"/>
                <w:b w:val="false"/>
                <w:bCs w:val="false"/>
                <w:sz w:val="18"/>
                <w:szCs w:val="18"/>
              </w:rPr>
              <w:t xml:space="preserve">ISRI : Administrateur systèmes et réseaux, Ingénieur systèmes et réseaux, Administrateur systèmes Linux / Windows, Administrateur cloud (AWS, Azure, Google Cloud), Ingénieur virtualisation (VMware, Hyper-V, Proxmox), Administrateur sécurité (Security Administrator),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Kubernetes / Docker, Cloud engineer, Spécialiste automatisation (Ansible, Terraform)</w:t>
            </w:r>
          </w:p>
          <w:p>
            <w:pPr>
              <w:spacing w:after="40"/>
            </w:pPr>
            <w:r>
              <w:rPr>
                <w:rFonts w:ascii="Arial" w:cs="Arial" w:eastAsia="Arial" w:hAnsi="Arial"/>
                <w:b w:val="false"/>
                <w:bCs w:val="false"/>
                <w:sz w:val="18"/>
                <w:szCs w:val="18"/>
              </w:rPr>
              <w:t xml:space="preserve">ISII : ILSI et ISRI en même temps</w:t>
            </w:r>
          </w:p>
        </w:tc>
      </w:tr>
      <w:tr>
        <w:trPr>
          <w:cantSplit/>
        </w:trPr>
        <w:tc>
          <w:tcPr>
            <w:tcW w:type="dxa" w:w="293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INTELLIGENCE</w:t>
            </w:r>
          </w:p>
          <w:p>
            <w:pPr>
              <w:spacing w:after="40"/>
            </w:pPr>
            <w:r>
              <w:rPr>
                <w:rFonts w:ascii="Arial" w:cs="Arial" w:eastAsia="Arial" w:hAnsi="Arial"/>
                <w:b/>
                <w:bCs/>
                <w:sz w:val="18"/>
                <w:szCs w:val="18"/>
              </w:rPr>
              <w:t xml:space="preserve">ARTIFICIELLE</w:t>
            </w:r>
          </w:p>
        </w:tc>
        <w:tc>
          <w:tcPr>
            <w:tcW w:type="dxa" w:w="609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GID : Développeur IA, Data Scientist, Entrepreneur IA, Consultant IA, Responsable marketing IA, Business Developer IA, Product Owner, Consultant en cybersécurité, Directeur de l’Innovation ;</w:t>
            </w:r>
          </w:p>
          <w:p>
            <w:pPr>
              <w:spacing w:after="40"/>
            </w:pPr>
            <w:r>
              <w:rPr>
                <w:rFonts w:ascii="Arial" w:cs="Arial" w:eastAsia="Arial" w:hAnsi="Arial"/>
                <w:b w:val="false"/>
                <w:bCs w:val="false"/>
                <w:sz w:val="18"/>
                <w:szCs w:val="18"/>
              </w:rPr>
              <w:t xml:space="preserve">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w:trPr>
          <w:cantSplit/>
        </w:trPr>
        <w:tc>
          <w:tcPr>
            <w:tcW w:type="dxa" w:w="293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EXPERTISE DIGITALE</w:t>
            </w:r>
          </w:p>
        </w:tc>
        <w:tc>
          <w:tcPr>
            <w:tcW w:type="dxa" w:w="609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MDi : Spécialiste en Marketing Digital, Gestionnaire de Contenu Web, Analyste UX/UI, Product Owner,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pPr>
              <w:spacing w:after="40"/>
            </w:pPr>
            <w:r>
              <w:rPr>
                <w:rFonts w:ascii="Arial" w:cs="Arial" w:eastAsia="Arial" w:hAnsi="Arial"/>
                <w:b w:val="false"/>
                <w:bCs w:val="false"/>
                <w:sz w:val="18"/>
                <w:szCs w:val="18"/>
              </w:rPr>
              <w:t xml:space="preserve">ASI : Auditeur des Systèmes d'Information, Consultant en Sécurité des Systèmes d'Information, Analyste de Risques IT, Chef de Projet SI, Responsable de la Conformité IT, Spécialiste en Cyber Forensics, Directeur de l'Audit et de la Sécurité des Systèmes d'Information, Expert en Gouvernance IT, Formateur ou Éducateur en Sécurité des Chercheur en Sécurité IT</w:t>
            </w:r>
          </w:p>
        </w:tc>
      </w:tr>
    </w:tbl>
    <w:p>
      <w:pPr>
        <w:spacing w:after="160"/>
      </w:pPr>
    </w:p>
    <w:p>
      <w:pPr>
        <w:keepNext/>
        <w:spacing w:after="40" w:before="240"/>
      </w:pPr>
      <w:r>
        <w:rPr>
          <w:rFonts w:ascii="Arial" w:cs="Arial" w:eastAsia="Arial" w:hAnsi="Arial"/>
          <w:b/>
          <w:bCs/>
          <w:color w:val="332E86"/>
          <w:sz w:val="21"/>
          <w:szCs w:val="21"/>
        </w:rPr>
        <w:t xml:space="preserve">Tableau 5 : Sites d’activité de ILON’ALA</w:t>
      </w:r>
    </w:p>
    <w:p>
      <w:pPr>
        <w:keepNext/>
        <w:spacing w:after="80"/>
      </w:pPr>
      <w:r>
        <w:rPr>
          <w:rFonts w:ascii="Arial" w:cs="Arial" w:eastAsia="Arial" w:hAnsi="Arial"/>
          <w:color w:val="777788"/>
          <w:sz w:val="17"/>
          <w:szCs w:val="17"/>
        </w:rPr>
        <w:t xml:space="preserve">Section : Domaines d’activités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1"/>
        <w:gridCol w:w="2288"/>
        <w:gridCol w:w="5047"/>
      </w:tblGrid>
      <w:tr>
        <w:trPr>
          <w:tblHeader/>
        </w:trPr>
        <w:tc>
          <w:tcPr>
            <w:tcW w:type="dxa" w:w="169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Site</w:t>
            </w:r>
          </w:p>
        </w:tc>
        <w:tc>
          <w:tcPr>
            <w:tcW w:type="dxa" w:w="2288"/>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Rôle principal</w:t>
            </w:r>
          </w:p>
        </w:tc>
        <w:tc>
          <w:tcPr>
            <w:tcW w:type="dxa" w:w="5047"/>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Activités</w:t>
            </w:r>
          </w:p>
        </w:tc>
      </w:tr>
      <w:tr>
        <w:trPr>
          <w:cantSplit/>
        </w:trPr>
        <w:tc>
          <w:tcPr>
            <w:tcW w:type="dxa" w:w="169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Manakara</w:t>
            </w:r>
          </w:p>
        </w:tc>
        <w:tc>
          <w:tcPr>
            <w:tcW w:type="dxa" w:w="228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Siège social et coordination de la production</w:t>
            </w:r>
          </w:p>
        </w:tc>
        <w:tc>
          <w:tcPr>
            <w:tcW w:type="dxa" w:w="504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Gestion administrative ; coordination des activités agricoles ; plantations (cannelle, ravintsara, girofle) ; production des matières premières ; distillation d’huiles essentielles ; apiculture et aviculture ; collaboration avec les producteurs et pépiniéristes partenaires</w:t>
            </w:r>
          </w:p>
        </w:tc>
      </w:tr>
      <w:tr>
        <w:trPr>
          <w:cantSplit/>
        </w:trPr>
        <w:tc>
          <w:tcPr>
            <w:tcW w:type="dxa" w:w="169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Antananarivo</w:t>
            </w:r>
          </w:p>
        </w:tc>
        <w:tc>
          <w:tcPr>
            <w:tcW w:type="dxa" w:w="228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Coordination générale et commercialisation</w:t>
            </w:r>
          </w:p>
        </w:tc>
        <w:tc>
          <w:tcPr>
            <w:tcW w:type="dxa" w:w="504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Direction générale ; gestion administrative et financière ; commercialisation ; conditionnement (mise en flacon, emballage, étiquetage) ; gestion des commandes et relation client ; activités numériques d’ALA’TECH</w:t>
            </w:r>
          </w:p>
        </w:tc>
      </w:tr>
      <w:tr>
        <w:trPr>
          <w:cantSplit/>
        </w:trPr>
        <w:tc>
          <w:tcPr>
            <w:tcW w:type="dxa" w:w="169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Toamasina</w:t>
            </w:r>
          </w:p>
        </w:tc>
        <w:tc>
          <w:tcPr>
            <w:tcW w:type="dxa" w:w="228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Pépinières et plantations</w:t>
            </w:r>
          </w:p>
        </w:tc>
        <w:tc>
          <w:tcPr>
            <w:tcW w:type="dxa" w:w="504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Pépinières ; plantations ; développement de nouvelles cultures ; essais de distillation d’huiles essentielles</w:t>
            </w:r>
          </w:p>
        </w:tc>
      </w:tr>
      <w:tr>
        <w:trPr>
          <w:cantSplit/>
        </w:trPr>
        <w:tc>
          <w:tcPr>
            <w:tcW w:type="dxa" w:w="169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Fianarantsoa</w:t>
            </w:r>
          </w:p>
        </w:tc>
        <w:tc>
          <w:tcPr>
            <w:tcW w:type="dxa" w:w="228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Transformation</w:t>
            </w:r>
          </w:p>
        </w:tc>
        <w:tc>
          <w:tcPr>
            <w:tcW w:type="dxa" w:w="504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Fabrication de savons artisanaux, de baumes et de produits cosmétiques naturels</w:t>
            </w:r>
          </w:p>
        </w:tc>
      </w:tr>
    </w:tbl>
    <w:p>
      <w:pPr>
        <w:spacing w:after="160"/>
      </w:pPr>
    </w:p>
    <w:p>
      <w:pPr>
        <w:keepNext/>
        <w:spacing w:after="40" w:before="240"/>
      </w:pPr>
      <w:r>
        <w:rPr>
          <w:rFonts w:ascii="Arial" w:cs="Arial" w:eastAsia="Arial" w:hAnsi="Arial"/>
          <w:b/>
          <w:bCs/>
          <w:color w:val="332E86"/>
          <w:sz w:val="21"/>
          <w:szCs w:val="21"/>
        </w:rPr>
        <w:t xml:space="preserve">Tableau 6 : Liste des moyens matériels</w:t>
      </w:r>
    </w:p>
    <w:p>
      <w:pPr>
        <w:keepNext/>
        <w:spacing w:after="80"/>
      </w:pPr>
      <w:r>
        <w:rPr>
          <w:rFonts w:ascii="Arial" w:cs="Arial" w:eastAsia="Arial" w:hAnsi="Arial"/>
          <w:color w:val="777788"/>
          <w:sz w:val="17"/>
          <w:szCs w:val="17"/>
        </w:rPr>
        <w:t xml:space="preserve">Section : Moyens matériels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1271"/>
        <w:gridCol w:w="1436"/>
        <w:gridCol w:w="1806"/>
      </w:tblGrid>
      <w:tr>
        <w:trPr>
          <w:tblHeader/>
        </w:trPr>
        <w:tc>
          <w:tcPr>
            <w:tcW w:type="dxa" w:w="1805"/>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Machine</w:t>
            </w:r>
          </w:p>
        </w:tc>
        <w:tc>
          <w:tcPr>
            <w:tcW w:type="dxa" w:w="2708"/>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Processeur</w:t>
            </w:r>
          </w:p>
        </w:tc>
        <w:tc>
          <w:tcPr>
            <w:tcW w:type="dxa" w:w="127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Mémoire vive (RAM)</w:t>
            </w:r>
          </w:p>
        </w:tc>
        <w:tc>
          <w:tcPr>
            <w:tcW w:type="dxa" w:w="143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Stockage</w:t>
            </w:r>
          </w:p>
        </w:tc>
        <w:tc>
          <w:tcPr>
            <w:tcW w:type="dxa" w:w="180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Carte graphique</w:t>
            </w:r>
          </w:p>
        </w:tc>
      </w:tr>
      <w:tr>
        <w:trPr>
          <w:cantSplit/>
        </w:trPr>
        <w:tc>
          <w:tcPr>
            <w:tcW w:type="dxa" w:w="180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Ordinateur portable DELL</w:t>
            </w:r>
          </w:p>
        </w:tc>
        <w:tc>
          <w:tcPr>
            <w:tcW w:type="dxa" w:w="270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Intel® Core i7-7600 CPU @ 2.8 GHz ( 4 CPUs) ~ 2.9 GHz</w:t>
            </w:r>
          </w:p>
        </w:tc>
        <w:tc>
          <w:tcPr>
            <w:tcW w:type="dxa" w:w="127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16 Go</w:t>
            </w:r>
          </w:p>
        </w:tc>
        <w:tc>
          <w:tcPr>
            <w:tcW w:type="dxa" w:w="143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250Go SSD</w:t>
            </w:r>
          </w:p>
        </w:tc>
        <w:tc>
          <w:tcPr>
            <w:tcW w:type="dxa" w:w="180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Intel® HD Graphics 620</w:t>
            </w:r>
          </w:p>
        </w:tc>
      </w:tr>
      <w:tr>
        <w:trPr>
          <w:cantSplit/>
        </w:trPr>
        <w:tc>
          <w:tcPr>
            <w:tcW w:type="dxa" w:w="180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Smartphone Redmi note 8pro</w:t>
            </w:r>
          </w:p>
        </w:tc>
        <w:tc>
          <w:tcPr>
            <w:tcW w:type="dxa" w:w="270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Octa-core Max 2.05GHz</w:t>
            </w:r>
          </w:p>
        </w:tc>
        <w:tc>
          <w:tcPr>
            <w:tcW w:type="dxa" w:w="127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6Go</w:t>
            </w:r>
          </w:p>
        </w:tc>
        <w:tc>
          <w:tcPr>
            <w:tcW w:type="dxa" w:w="143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64Go</w:t>
            </w:r>
          </w:p>
        </w:tc>
        <w:tc>
          <w:tcPr>
            <w:tcW w:type="dxa" w:w="180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_</w:t>
            </w:r>
          </w:p>
        </w:tc>
      </w:tr>
    </w:tbl>
    <w:p>
      <w:pPr>
        <w:spacing w:after="160"/>
      </w:pPr>
    </w:p>
    <w:p>
      <w:pPr>
        <w:keepNext/>
        <w:spacing w:after="40" w:before="240"/>
      </w:pPr>
      <w:r>
        <w:rPr>
          <w:rFonts w:ascii="Arial" w:cs="Arial" w:eastAsia="Arial" w:hAnsi="Arial"/>
          <w:b/>
          <w:bCs/>
          <w:color w:val="332E86"/>
          <w:sz w:val="21"/>
          <w:szCs w:val="21"/>
        </w:rPr>
        <w:t xml:space="preserve">Tableau 7 : Liste des moyens logiciels</w:t>
      </w:r>
    </w:p>
    <w:p>
      <w:pPr>
        <w:keepNext/>
        <w:spacing w:after="80"/>
      </w:pPr>
      <w:r>
        <w:rPr>
          <w:rFonts w:ascii="Arial" w:cs="Arial" w:eastAsia="Arial" w:hAnsi="Arial"/>
          <w:color w:val="777788"/>
          <w:sz w:val="17"/>
          <w:szCs w:val="17"/>
        </w:rPr>
        <w:t xml:space="preserve">Section : Moyens logiciels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37"/>
        <w:gridCol w:w="1976"/>
        <w:gridCol w:w="4513"/>
      </w:tblGrid>
      <w:tr>
        <w:trPr>
          <w:tblHeader/>
        </w:trPr>
        <w:tc>
          <w:tcPr>
            <w:tcW w:type="dxa" w:w="2537"/>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Logiciel / Library</w:t>
            </w:r>
          </w:p>
        </w:tc>
        <w:tc>
          <w:tcPr>
            <w:tcW w:type="dxa" w:w="197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Version</w:t>
            </w:r>
          </w:p>
        </w:tc>
        <w:tc>
          <w:tcPr>
            <w:tcW w:type="dxa" w:w="4513"/>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Utilité</w:t>
            </w:r>
          </w:p>
        </w:tc>
      </w:tr>
      <w:tr>
        <w:trPr>
          <w:cantSplit/>
        </w:trPr>
        <w:tc>
          <w:tcPr>
            <w:tcW w:type="dxa" w:w="25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Node.js</w:t>
            </w:r>
          </w:p>
        </w:tc>
        <w:tc>
          <w:tcPr>
            <w:tcW w:type="dxa" w:w="197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v24.21.0</w:t>
            </w:r>
          </w:p>
        </w:tc>
        <w:tc>
          <w:tcPr>
            <w:tcW w:type="dxa" w:w="451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environnement d’exécution cote serveur construit sur le moteur JavaScript V8 de Google chrome</w:t>
            </w:r>
          </w:p>
        </w:tc>
      </w:tr>
      <w:tr>
        <w:trPr>
          <w:cantSplit/>
        </w:trPr>
        <w:tc>
          <w:tcPr>
            <w:tcW w:type="dxa" w:w="25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React native</w:t>
            </w:r>
          </w:p>
        </w:tc>
        <w:tc>
          <w:tcPr>
            <w:tcW w:type="dxa" w:w="197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v0.86.3</w:t>
            </w:r>
          </w:p>
        </w:tc>
        <w:tc>
          <w:tcPr>
            <w:tcW w:type="dxa" w:w="451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Sert à créer des applications mobiles pour iOS et Android avec JavaScript et React.Il permet de partager une grande partie du code entre les deux plateformes, tout en affichant des composants d’interface natifs.</w:t>
            </w:r>
          </w:p>
        </w:tc>
      </w:tr>
      <w:tr>
        <w:trPr>
          <w:cantSplit/>
        </w:trPr>
        <w:tc>
          <w:tcPr>
            <w:tcW w:type="dxa" w:w="25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NestJs</w:t>
            </w:r>
          </w:p>
        </w:tc>
        <w:tc>
          <w:tcPr>
            <w:tcW w:type="dxa" w:w="197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v10.4.15</w:t>
            </w:r>
          </w:p>
        </w:tc>
        <w:tc>
          <w:tcPr>
            <w:tcW w:type="dxa" w:w="451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framework Node.js qui aide à structurer le backend : il permet notamment de créer les API, gérer les requêtes et organiser le logique métier en modules.</w:t>
            </w:r>
          </w:p>
        </w:tc>
      </w:tr>
      <w:tr>
        <w:trPr>
          <w:cantSplit/>
        </w:trPr>
        <w:tc>
          <w:tcPr>
            <w:tcW w:type="dxa" w:w="25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ReactJs</w:t>
            </w:r>
          </w:p>
        </w:tc>
        <w:tc>
          <w:tcPr>
            <w:tcW w:type="dxa" w:w="197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v19.0.0</w:t>
            </w:r>
          </w:p>
        </w:tc>
        <w:tc>
          <w:tcPr>
            <w:tcW w:type="dxa" w:w="451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Bibliothèque JavaScript/TypeScript déclarative permettant de construire des interfaces utilisateur réactives et modulaires. Dans EduLoc, elle est utilisée pour concevoir les composants web et les tableaux de bord interactifs avec une gestion d'état optimisée</w:t>
            </w:r>
          </w:p>
        </w:tc>
      </w:tr>
      <w:tr>
        <w:trPr>
          <w:cantSplit/>
        </w:trPr>
        <w:tc>
          <w:tcPr>
            <w:tcW w:type="dxa" w:w="25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Vite</w:t>
            </w:r>
          </w:p>
        </w:tc>
        <w:tc>
          <w:tcPr>
            <w:tcW w:type="dxa" w:w="197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v6.0.0</w:t>
            </w:r>
          </w:p>
        </w:tc>
        <w:tc>
          <w:tcPr>
            <w:tcW w:type="dxa" w:w="451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Outil d'assemblage (bundler) et serveur de développement de nouvelle génération. Dans le projet, il garantit un rechargement à chaud instantané (HMR) lors du développement frontend et produit des bundles de production hautement optimisés.</w:t>
            </w:r>
          </w:p>
        </w:tc>
      </w:tr>
      <w:tr>
        <w:trPr>
          <w:cantSplit/>
        </w:trPr>
        <w:tc>
          <w:tcPr>
            <w:tcW w:type="dxa" w:w="25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Tailwind CSS</w:t>
            </w:r>
          </w:p>
        </w:tc>
        <w:tc>
          <w:tcPr>
            <w:tcW w:type="dxa" w:w="197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v4.0.0</w:t>
            </w:r>
          </w:p>
        </w:tc>
        <w:tc>
          <w:tcPr>
            <w:tcW w:type="dxa" w:w="451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Framework CSS utilitaire (utility-first) de dernière génération. Il permet de concevoir rapidement des interfaces modernes, fluides et pleinement adaptées aux écrans mobiles et de bureau (responsive design) avec une empreinte CSS minimale.</w:t>
            </w:r>
          </w:p>
        </w:tc>
      </w:tr>
      <w:tr>
        <w:trPr>
          <w:cantSplit/>
        </w:trPr>
        <w:tc>
          <w:tcPr>
            <w:tcW w:type="dxa" w:w="25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Docker</w:t>
            </w:r>
          </w:p>
        </w:tc>
        <w:tc>
          <w:tcPr>
            <w:tcW w:type="dxa" w:w="197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v29.6.2</w:t>
            </w:r>
          </w:p>
        </w:tc>
        <w:tc>
          <w:tcPr>
            <w:tcW w:type="dxa" w:w="451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Exécute l’application et ses dépendances dans des conteneurs isolés et reproductibles.</w:t>
            </w:r>
          </w:p>
        </w:tc>
      </w:tr>
      <w:tr>
        <w:trPr>
          <w:cantSplit/>
        </w:trPr>
        <w:tc>
          <w:tcPr>
            <w:tcW w:type="dxa" w:w="25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Visual Studio Code</w:t>
            </w:r>
          </w:p>
        </w:tc>
        <w:tc>
          <w:tcPr>
            <w:tcW w:type="dxa" w:w="197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v1.142.0</w:t>
            </w:r>
          </w:p>
        </w:tc>
        <w:tc>
          <w:tcPr>
            <w:tcW w:type="dxa" w:w="451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environnement de développement.</w:t>
            </w:r>
          </w:p>
        </w:tc>
      </w:tr>
      <w:tr>
        <w:trPr>
          <w:cantSplit/>
        </w:trPr>
        <w:tc>
          <w:tcPr>
            <w:tcW w:type="dxa" w:w="25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ExpoGo</w:t>
            </w:r>
          </w:p>
        </w:tc>
        <w:tc>
          <w:tcPr>
            <w:tcW w:type="dxa" w:w="197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V57.0.9</w:t>
            </w:r>
          </w:p>
        </w:tc>
        <w:tc>
          <w:tcPr>
            <w:tcW w:type="dxa" w:w="451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Une application mobile qui permet de tester rapidement un projet Expo sur un smartphone.</w:t>
            </w:r>
          </w:p>
        </w:tc>
      </w:tr>
      <w:tr>
        <w:trPr>
          <w:cantSplit/>
        </w:trPr>
        <w:tc>
          <w:tcPr>
            <w:tcW w:type="dxa" w:w="25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PostgreSql</w:t>
            </w:r>
          </w:p>
        </w:tc>
        <w:tc>
          <w:tcPr>
            <w:tcW w:type="dxa" w:w="197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v16.4</w:t>
            </w:r>
          </w:p>
        </w:tc>
        <w:tc>
          <w:tcPr>
            <w:tcW w:type="dxa" w:w="451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Base de données avec PostGIS pour les données géographiques et pgvector pour la recherche sémantique.</w:t>
            </w:r>
          </w:p>
        </w:tc>
      </w:tr>
      <w:tr>
        <w:trPr>
          <w:cantSplit/>
        </w:trPr>
        <w:tc>
          <w:tcPr>
            <w:tcW w:type="dxa" w:w="25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Pgadmin</w:t>
            </w:r>
          </w:p>
        </w:tc>
        <w:tc>
          <w:tcPr>
            <w:tcW w:type="dxa" w:w="197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v4</w:t>
            </w:r>
          </w:p>
        </w:tc>
        <w:tc>
          <w:tcPr>
            <w:tcW w:type="dxa" w:w="451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Interface web pour administrer et consulter la base PostgreSQL.</w:t>
            </w:r>
          </w:p>
        </w:tc>
      </w:tr>
      <w:tr>
        <w:trPr>
          <w:cantSplit/>
        </w:trPr>
        <w:tc>
          <w:tcPr>
            <w:tcW w:type="dxa" w:w="25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Redis</w:t>
            </w:r>
          </w:p>
        </w:tc>
        <w:tc>
          <w:tcPr>
            <w:tcW w:type="dxa" w:w="197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v7.4.10</w:t>
            </w:r>
          </w:p>
        </w:tc>
        <w:tc>
          <w:tcPr>
            <w:tcW w:type="dxa" w:w="451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Stockage en mémoire utilisé notamment pour le cache et la gestion des données temporaires.</w:t>
            </w:r>
          </w:p>
        </w:tc>
      </w:tr>
      <w:tr>
        <w:trPr>
          <w:cantSplit/>
        </w:trPr>
        <w:tc>
          <w:tcPr>
            <w:tcW w:type="dxa" w:w="25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Centrifugo</w:t>
            </w:r>
          </w:p>
        </w:tc>
        <w:tc>
          <w:tcPr>
            <w:tcW w:type="dxa" w:w="197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v6</w:t>
            </w:r>
          </w:p>
        </w:tc>
        <w:tc>
          <w:tcPr>
            <w:tcW w:type="dxa" w:w="451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Gère les communications en temps réel entre le backend et les clients, par exemple les événements instantanés.</w:t>
            </w:r>
          </w:p>
        </w:tc>
      </w:tr>
      <w:tr>
        <w:trPr>
          <w:cantSplit/>
        </w:trPr>
        <w:tc>
          <w:tcPr>
            <w:tcW w:type="dxa" w:w="25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Livekit</w:t>
            </w:r>
          </w:p>
        </w:tc>
        <w:tc>
          <w:tcPr>
            <w:tcW w:type="dxa" w:w="197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v1.13.7</w:t>
            </w:r>
          </w:p>
        </w:tc>
        <w:tc>
          <w:tcPr>
            <w:tcW w:type="dxa" w:w="451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Fournit les fonctions de communication audio et vidéo.</w:t>
            </w:r>
          </w:p>
        </w:tc>
      </w:tr>
      <w:tr>
        <w:trPr>
          <w:cantSplit/>
        </w:trPr>
        <w:tc>
          <w:tcPr>
            <w:tcW w:type="dxa" w:w="25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Ollama</w:t>
            </w:r>
          </w:p>
        </w:tc>
        <w:tc>
          <w:tcPr>
            <w:tcW w:type="dxa" w:w="197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v0.40.4-rc1</w:t>
            </w:r>
          </w:p>
        </w:tc>
        <w:tc>
          <w:tcPr>
            <w:tcW w:type="dxa" w:w="451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Exécute les modèles d’IA utilisés.</w:t>
            </w:r>
          </w:p>
        </w:tc>
      </w:tr>
      <w:tr>
        <w:trPr>
          <w:cantSplit/>
        </w:trPr>
        <w:tc>
          <w:tcPr>
            <w:tcW w:type="dxa" w:w="25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PaddleOCR</w:t>
            </w:r>
          </w:p>
        </w:tc>
        <w:tc>
          <w:tcPr>
            <w:tcW w:type="dxa" w:w="197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v2.7-cp</w:t>
            </w:r>
          </w:p>
        </w:tc>
        <w:tc>
          <w:tcPr>
            <w:tcW w:type="dxa" w:w="451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Modèle IA pour lire les textes dans des documents et image.</w:t>
            </w:r>
          </w:p>
        </w:tc>
      </w:tr>
      <w:tr>
        <w:trPr>
          <w:cantSplit/>
        </w:trPr>
        <w:tc>
          <w:tcPr>
            <w:tcW w:type="dxa" w:w="25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EmbeddingGemma</w:t>
            </w:r>
          </w:p>
        </w:tc>
        <w:tc>
          <w:tcPr>
            <w:tcW w:type="dxa" w:w="197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v2</w:t>
            </w:r>
          </w:p>
        </w:tc>
        <w:tc>
          <w:tcPr>
            <w:tcW w:type="dxa" w:w="451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Modèle d’IA qui transforme les textes en représentations numériques.</w:t>
            </w:r>
          </w:p>
        </w:tc>
      </w:tr>
      <w:tr>
        <w:trPr>
          <w:cantSplit/>
        </w:trPr>
        <w:tc>
          <w:tcPr>
            <w:tcW w:type="dxa" w:w="25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Qwen</w:t>
            </w:r>
          </w:p>
        </w:tc>
        <w:tc>
          <w:tcPr>
            <w:tcW w:type="dxa" w:w="197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v2.5</w:t>
            </w:r>
          </w:p>
        </w:tc>
        <w:tc>
          <w:tcPr>
            <w:tcW w:type="dxa" w:w="451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LLM qui analyse et structure le texte.</w:t>
            </w:r>
          </w:p>
        </w:tc>
      </w:tr>
      <w:tr>
        <w:trPr>
          <w:cantSplit/>
        </w:trPr>
        <w:tc>
          <w:tcPr>
            <w:tcW w:type="dxa" w:w="25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plane.so</w:t>
            </w:r>
          </w:p>
        </w:tc>
        <w:tc>
          <w:tcPr>
            <w:tcW w:type="dxa" w:w="197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gratuit</w:t>
            </w:r>
          </w:p>
        </w:tc>
        <w:tc>
          <w:tcPr>
            <w:tcW w:type="dxa" w:w="451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Pour la gestion des taches durant le développement du projet.</w:t>
            </w:r>
          </w:p>
        </w:tc>
      </w:tr>
    </w:tbl>
    <w:p>
      <w:pPr>
        <w:spacing w:after="160"/>
      </w:pPr>
    </w:p>
    <w:p>
      <w:pPr>
        <w:keepNext/>
        <w:spacing w:after="40" w:before="240"/>
      </w:pPr>
      <w:r>
        <w:rPr>
          <w:rFonts w:ascii="Arial" w:cs="Arial" w:eastAsia="Arial" w:hAnsi="Arial"/>
          <w:b/>
          <w:bCs/>
          <w:color w:val="332E86"/>
          <w:sz w:val="21"/>
          <w:szCs w:val="21"/>
        </w:rPr>
        <w:t xml:space="preserve">Tableau 8 : Inventaire des moyens matériels</w:t>
      </w:r>
    </w:p>
    <w:p>
      <w:pPr>
        <w:keepNext/>
        <w:spacing w:after="80"/>
      </w:pPr>
      <w:r>
        <w:rPr>
          <w:rFonts w:ascii="Arial" w:cs="Arial" w:eastAsia="Arial" w:hAnsi="Arial"/>
          <w:color w:val="777788"/>
          <w:sz w:val="17"/>
          <w:szCs w:val="17"/>
        </w:rPr>
        <w:t xml:space="preserve">Section : Moyens matériels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678"/>
        <w:gridCol w:w="2255"/>
        <w:gridCol w:w="2993"/>
      </w:tblGrid>
      <w:tr>
        <w:trPr>
          <w:tblHeader/>
        </w:trPr>
        <w:tc>
          <w:tcPr>
            <w:tcW w:type="dxa" w:w="11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Désignation</w:t>
            </w:r>
          </w:p>
        </w:tc>
        <w:tc>
          <w:tcPr>
            <w:tcW w:type="dxa" w:w="2678"/>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Caractéristique</w:t>
            </w:r>
          </w:p>
        </w:tc>
        <w:tc>
          <w:tcPr>
            <w:tcW w:type="dxa" w:w="2255"/>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Marque</w:t>
            </w:r>
          </w:p>
        </w:tc>
        <w:tc>
          <w:tcPr>
            <w:tcW w:type="dxa" w:w="2993"/>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Utilité</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PC Portable</w:t>
            </w:r>
          </w:p>
        </w:tc>
        <w:tc>
          <w:tcPr>
            <w:tcW w:type="dxa" w:w="26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Intel® Core i7-7600 CPU @ 2.8 GHz ( 4 CPUs) ~ 2.9 GHz , 16Go RAM , 250Go ssd , windows 11</w:t>
            </w:r>
          </w:p>
        </w:tc>
        <w:tc>
          <w:tcPr>
            <w:tcW w:type="dxa" w:w="225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DELL</w:t>
            </w:r>
          </w:p>
        </w:tc>
        <w:tc>
          <w:tcPr>
            <w:tcW w:type="dxa" w:w="299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Réalisation, Serveur Local</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Smart phone</w:t>
            </w:r>
          </w:p>
        </w:tc>
        <w:tc>
          <w:tcPr>
            <w:tcW w:type="dxa" w:w="26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Octa-core Max 2.05GHz , Android 11</w:t>
            </w:r>
          </w:p>
        </w:tc>
        <w:tc>
          <w:tcPr>
            <w:tcW w:type="dxa" w:w="225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Redmi note 8 pro</w:t>
            </w:r>
          </w:p>
        </w:tc>
        <w:tc>
          <w:tcPr>
            <w:tcW w:type="dxa" w:w="299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Test de l’application</w:t>
            </w:r>
          </w:p>
        </w:tc>
      </w:tr>
    </w:tbl>
    <w:p>
      <w:pPr>
        <w:spacing w:after="160"/>
      </w:pPr>
    </w:p>
    <w:p>
      <w:pPr>
        <w:keepNext/>
        <w:spacing w:after="40" w:before="240"/>
      </w:pPr>
      <w:r>
        <w:rPr>
          <w:rFonts w:ascii="Arial" w:cs="Arial" w:eastAsia="Arial" w:hAnsi="Arial"/>
          <w:b/>
          <w:bCs/>
          <w:color w:val="332E86"/>
          <w:sz w:val="21"/>
          <w:szCs w:val="21"/>
        </w:rPr>
        <w:t xml:space="preserve">Tableau 9 : Inventaire des moyens logiciels</w:t>
      </w:r>
    </w:p>
    <w:p>
      <w:pPr>
        <w:keepNext/>
        <w:spacing w:after="80"/>
      </w:pPr>
      <w:r>
        <w:rPr>
          <w:rFonts w:ascii="Arial" w:cs="Arial" w:eastAsia="Arial" w:hAnsi="Arial"/>
          <w:color w:val="777788"/>
          <w:sz w:val="17"/>
          <w:szCs w:val="17"/>
        </w:rPr>
        <w:t xml:space="preserve">Section : Moyens logiciels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36"/>
        <w:gridCol w:w="1553"/>
        <w:gridCol w:w="4937"/>
      </w:tblGrid>
      <w:tr>
        <w:trPr>
          <w:tblHeader/>
        </w:trPr>
        <w:tc>
          <w:tcPr>
            <w:tcW w:type="dxa" w:w="253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Désignation</w:t>
            </w:r>
          </w:p>
        </w:tc>
        <w:tc>
          <w:tcPr>
            <w:tcW w:type="dxa" w:w="1553"/>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Version</w:t>
            </w:r>
          </w:p>
        </w:tc>
        <w:tc>
          <w:tcPr>
            <w:tcW w:type="dxa" w:w="4937"/>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Utilité</w:t>
            </w:r>
          </w:p>
        </w:tc>
      </w:tr>
      <w:tr>
        <w:trPr>
          <w:cantSplit/>
        </w:trPr>
        <w:tc>
          <w:tcPr>
            <w:tcW w:type="dxa" w:w="253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Brave</w:t>
            </w:r>
          </w:p>
          <w:p>
            <w:pPr>
              <w:spacing w:after="40"/>
            </w:pPr>
            <w:r>
              <w:rPr>
                <w:rFonts w:ascii="Arial" w:cs="Arial" w:eastAsia="Arial" w:hAnsi="Arial"/>
                <w:b/>
                <w:bCs/>
                <w:sz w:val="18"/>
                <w:szCs w:val="18"/>
              </w:rPr>
              <w:t xml:space="preserve">Microsoft edge</w:t>
            </w:r>
          </w:p>
        </w:tc>
        <w:tc>
          <w:tcPr>
            <w:tcW w:type="dxa" w:w="155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1.98.60</w:t>
            </w:r>
          </w:p>
          <w:p>
            <w:pPr>
              <w:spacing w:after="40"/>
            </w:pPr>
            <w:r>
              <w:rPr>
                <w:rFonts w:ascii="Arial" w:cs="Arial" w:eastAsia="Arial" w:hAnsi="Arial"/>
                <w:b w:val="false"/>
                <w:bCs w:val="false"/>
                <w:sz w:val="18"/>
                <w:szCs w:val="18"/>
              </w:rPr>
              <w:t xml:space="preserve">156.0.4314.42</w:t>
            </w:r>
          </w:p>
        </w:tc>
        <w:tc>
          <w:tcPr>
            <w:tcW w:type="dxa" w:w="49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Navigateur web</w:t>
            </w:r>
          </w:p>
        </w:tc>
      </w:tr>
      <w:tr>
        <w:trPr>
          <w:cantSplit/>
        </w:trPr>
        <w:tc>
          <w:tcPr>
            <w:tcW w:type="dxa" w:w="253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PostgreSQL</w:t>
            </w:r>
          </w:p>
        </w:tc>
        <w:tc>
          <w:tcPr>
            <w:tcW w:type="dxa" w:w="155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16.4</w:t>
            </w:r>
          </w:p>
        </w:tc>
        <w:tc>
          <w:tcPr>
            <w:tcW w:type="dxa" w:w="49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Gestion et manipulation de la base de données en</w:t>
            </w:r>
          </w:p>
          <w:p>
            <w:pPr>
              <w:spacing w:after="40"/>
            </w:pPr>
            <w:r>
              <w:rPr>
                <w:rFonts w:ascii="Arial" w:cs="Arial" w:eastAsia="Arial" w:hAnsi="Arial"/>
                <w:b/>
                <w:bCs/>
                <w:sz w:val="18"/>
                <w:szCs w:val="18"/>
              </w:rPr>
              <w:t xml:space="preserve">production</w:t>
            </w:r>
          </w:p>
        </w:tc>
      </w:tr>
      <w:tr>
        <w:trPr>
          <w:cantSplit/>
        </w:trPr>
        <w:tc>
          <w:tcPr>
            <w:tcW w:type="dxa" w:w="253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Visual Studio code</w:t>
            </w:r>
          </w:p>
        </w:tc>
        <w:tc>
          <w:tcPr>
            <w:tcW w:type="dxa" w:w="155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1.94</w:t>
            </w:r>
          </w:p>
        </w:tc>
        <w:tc>
          <w:tcPr>
            <w:tcW w:type="dxa" w:w="49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Outil de développement de la partie front office</w:t>
            </w:r>
          </w:p>
          <w:p>
            <w:pPr>
              <w:spacing w:after="40"/>
            </w:pPr>
            <w:r>
              <w:rPr>
                <w:rFonts w:ascii="Arial" w:cs="Arial" w:eastAsia="Arial" w:hAnsi="Arial"/>
                <w:b/>
                <w:bCs/>
                <w:sz w:val="18"/>
                <w:szCs w:val="18"/>
              </w:rPr>
              <w:t xml:space="preserve">de l’application</w:t>
            </w:r>
          </w:p>
        </w:tc>
      </w:tr>
      <w:tr>
        <w:trPr>
          <w:cantSplit/>
        </w:trPr>
        <w:tc>
          <w:tcPr>
            <w:tcW w:type="dxa" w:w="253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Visual Paradigm</w:t>
            </w:r>
          </w:p>
        </w:tc>
        <w:tc>
          <w:tcPr>
            <w:tcW w:type="dxa" w:w="155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16.2</w:t>
            </w:r>
          </w:p>
        </w:tc>
        <w:tc>
          <w:tcPr>
            <w:tcW w:type="dxa" w:w="49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Outil de modélisation et de conception UML</w:t>
            </w:r>
          </w:p>
        </w:tc>
      </w:tr>
      <w:tr>
        <w:trPr>
          <w:cantSplit/>
        </w:trPr>
        <w:tc>
          <w:tcPr>
            <w:tcW w:type="dxa" w:w="253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Git</w:t>
            </w:r>
          </w:p>
        </w:tc>
        <w:tc>
          <w:tcPr>
            <w:tcW w:type="dxa" w:w="155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3.14.0</w:t>
            </w:r>
          </w:p>
        </w:tc>
        <w:tc>
          <w:tcPr>
            <w:tcW w:type="dxa" w:w="49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Gestion de versions</w:t>
            </w:r>
          </w:p>
        </w:tc>
      </w:tr>
      <w:tr>
        <w:trPr>
          <w:cantSplit/>
        </w:trPr>
        <w:tc>
          <w:tcPr>
            <w:tcW w:type="dxa" w:w="253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Plane.so</w:t>
            </w:r>
          </w:p>
        </w:tc>
        <w:tc>
          <w:tcPr>
            <w:tcW w:type="dxa" w:w="155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Gratuit</w:t>
            </w:r>
          </w:p>
        </w:tc>
        <w:tc>
          <w:tcPr>
            <w:tcW w:type="dxa" w:w="49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Suivi du projet, gestion des sprints et assignation</w:t>
            </w:r>
          </w:p>
          <w:p>
            <w:pPr>
              <w:spacing w:after="40"/>
            </w:pPr>
            <w:r>
              <w:rPr>
                <w:rFonts w:ascii="Arial" w:cs="Arial" w:eastAsia="Arial" w:hAnsi="Arial"/>
                <w:b/>
                <w:bCs/>
                <w:sz w:val="18"/>
                <w:szCs w:val="18"/>
              </w:rPr>
              <w:t xml:space="preserve">des taches</w:t>
            </w:r>
          </w:p>
        </w:tc>
      </w:tr>
      <w:tr>
        <w:trPr>
          <w:cantSplit/>
        </w:trPr>
        <w:tc>
          <w:tcPr>
            <w:tcW w:type="dxa" w:w="253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Docker</w:t>
            </w:r>
          </w:p>
        </w:tc>
        <w:tc>
          <w:tcPr>
            <w:tcW w:type="dxa" w:w="155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29.6.2</w:t>
            </w:r>
          </w:p>
        </w:tc>
        <w:tc>
          <w:tcPr>
            <w:tcW w:type="dxa" w:w="49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Exécute l’application et ses dépendances dans des conteneurs isolés et reproductibles.</w:t>
            </w:r>
          </w:p>
        </w:tc>
      </w:tr>
    </w:tbl>
    <w:p>
      <w:pPr>
        <w:spacing w:after="160"/>
      </w:pPr>
    </w:p>
    <w:p>
      <w:pPr>
        <w:keepNext/>
        <w:spacing w:after="40" w:before="240"/>
      </w:pPr>
      <w:r>
        <w:rPr>
          <w:rFonts w:ascii="Arial" w:cs="Arial" w:eastAsia="Arial" w:hAnsi="Arial"/>
          <w:b/>
          <w:bCs/>
          <w:color w:val="332E86"/>
          <w:sz w:val="21"/>
          <w:szCs w:val="21"/>
        </w:rPr>
        <w:t xml:space="preserve">Tableau 10 : Comparaison des solutions proposées</w:t>
      </w:r>
    </w:p>
    <w:p>
      <w:pPr>
        <w:keepNext/>
        <w:spacing w:after="80"/>
      </w:pPr>
      <w:r>
        <w:rPr>
          <w:rFonts w:ascii="Arial" w:cs="Arial" w:eastAsia="Arial" w:hAnsi="Arial"/>
          <w:color w:val="777788"/>
          <w:sz w:val="17"/>
          <w:szCs w:val="17"/>
        </w:rPr>
        <w:t xml:space="preserve">Section : 4.3.1. Proposition des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89"/>
        <w:gridCol w:w="2400"/>
        <w:gridCol w:w="2400"/>
        <w:gridCol w:w="2537"/>
      </w:tblGrid>
      <w:tr>
        <w:trPr>
          <w:tblHeader/>
        </w:trPr>
        <w:tc>
          <w:tcPr>
            <w:tcW w:type="dxa" w:w="1689"/>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Critères</w:t>
            </w:r>
          </w:p>
        </w:tc>
        <w:tc>
          <w:tcPr>
            <w:tcW w:type="dxa" w:w="24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Solution 1 : Mise en relation classique</w:t>
            </w:r>
          </w:p>
        </w:tc>
        <w:tc>
          <w:tcPr>
            <w:tcW w:type="dxa" w:w="24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Solution 2 : Plateforme existante</w:t>
            </w:r>
          </w:p>
        </w:tc>
        <w:tc>
          <w:tcPr>
            <w:tcW w:type="dxa" w:w="2537"/>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Solution 3 : Développement d’EduLoc</w:t>
            </w:r>
          </w:p>
        </w:tc>
      </w:tr>
      <w:tr>
        <w:trPr>
          <w:cantSplit/>
        </w:trPr>
        <w:tc>
          <w:tcPr>
            <w:tcW w:type="dxa" w:w="168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Avantages</w:t>
            </w:r>
          </w:p>
        </w:tc>
        <w:tc>
          <w:tcPr>
            <w:tcW w:type="dxa" w:w="24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Ne nécessite pas la création d’un nouvel outil. 
- Repose sur des pratiques déjà connues. 
- Permet des échanges directs entre les parties.</w:t>
            </w:r>
          </w:p>
        </w:tc>
        <w:tc>
          <w:tcPr>
            <w:tcW w:type="dxa" w:w="24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Permet de bénéficier de fonctionnalités déjà disponibles. 
- Réduit le temps nécessaire à la mise en place initiale. 
- Peut proposer des outils de recherche et de réservation déjà éprouvés.</w:t>
            </w:r>
          </w:p>
        </w:tc>
        <w:tc>
          <w:tcPr>
            <w:tcW w:type="dxa" w:w="25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Permet d’adapter les fonctionnalités aux besoins identifiés. 
- Centralise la recherche, la mise en relation et l’organisation des séances. 
- Intègre la dimension géographique et la recherche de lieux d’étude. 
- Offre des possibilités d’évolution selon les besoins des utilisateurs.</w:t>
            </w:r>
          </w:p>
        </w:tc>
      </w:tr>
      <w:tr>
        <w:trPr>
          <w:cantSplit/>
        </w:trPr>
        <w:tc>
          <w:tcPr>
            <w:tcW w:type="dxa" w:w="168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Inconvénients</w:t>
            </w:r>
          </w:p>
        </w:tc>
        <w:tc>
          <w:tcPr>
            <w:tcW w:type="dxa" w:w="24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Recherche pouvant nécessiter plusieurs démarches manuelles. 
- Comparaison des profils et des disponibilités à la charge du demandeur. 
- Organisation des séances et recherche d’un lieu à coordonner séparément.</w:t>
            </w:r>
          </w:p>
        </w:tc>
        <w:tc>
          <w:tcPr>
            <w:tcW w:type="dxa" w:w="24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Fonctionnalités dépendantes de la plateforme choisie. 
- Possibilités de personnalisation limitées selon le service. 
- Dépendance à un fournisseur externe et à ses conditions d’utilisation.</w:t>
            </w:r>
          </w:p>
        </w:tc>
        <w:tc>
          <w:tcPr>
            <w:tcW w:type="dxa" w:w="25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Nécessite des compétences techniques pour le développement et la maintenance. 
- Demande du temps pour concevoir, tester et améliorer les fonctionnalités. 
- Nécessite de recruter suffisamment de tuteurs et de faire connaître la plateforme.</w:t>
            </w:r>
          </w:p>
        </w:tc>
      </w:tr>
      <w:tr>
        <w:trPr>
          <w:cantSplit/>
        </w:trPr>
        <w:tc>
          <w:tcPr>
            <w:tcW w:type="dxa" w:w="168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Coût estimé</w:t>
            </w:r>
          </w:p>
        </w:tc>
        <w:tc>
          <w:tcPr>
            <w:tcW w:type="dxa" w:w="24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À déterminer selon les moyens utilisés et le temps consacré aux recherches.</w:t>
            </w:r>
          </w:p>
        </w:tc>
        <w:tc>
          <w:tcPr>
            <w:tcW w:type="dxa" w:w="24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À déterminer selon les tarifs et les fonctionnalités du service retenu.</w:t>
            </w:r>
          </w:p>
        </w:tc>
        <w:tc>
          <w:tcPr>
            <w:tcW w:type="dxa" w:w="25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À déterminer selon les ressources techniques mobilisées, l’hébergement et les services externes utilisés</w:t>
            </w:r>
          </w:p>
        </w:tc>
      </w:tr>
    </w:tbl>
    <w:p>
      <w:pPr>
        <w:spacing w:after="160"/>
      </w:pPr>
    </w:p>
    <w:p>
      <w:pPr>
        <w:keepNext/>
        <w:spacing w:after="40" w:before="240"/>
      </w:pPr>
      <w:r>
        <w:rPr>
          <w:rFonts w:ascii="Arial" w:cs="Arial" w:eastAsia="Arial" w:hAnsi="Arial"/>
          <w:b/>
          <w:bCs/>
          <w:color w:val="332E86"/>
          <w:sz w:val="21"/>
          <w:szCs w:val="21"/>
        </w:rPr>
        <w:t xml:space="preserve">Tableau 11 : Comparaison des méthodes de conception</w:t>
      </w:r>
    </w:p>
    <w:p>
      <w:pPr>
        <w:keepNext/>
        <w:spacing w:after="80"/>
      </w:pPr>
      <w:r>
        <w:rPr>
          <w:rFonts w:ascii="Arial" w:cs="Arial" w:eastAsia="Arial" w:hAnsi="Arial"/>
          <w:color w:val="777788"/>
          <w:sz w:val="17"/>
          <w:szCs w:val="17"/>
        </w:rPr>
        <w:t xml:space="preserve">Section : 4.3.2. Méthodes de conception et outils utilisés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72"/>
        <w:gridCol w:w="3670"/>
        <w:gridCol w:w="3384"/>
      </w:tblGrid>
      <w:tr>
        <w:trPr>
          <w:tblHeader/>
        </w:trPr>
        <w:tc>
          <w:tcPr>
            <w:tcW w:type="dxa" w:w="1972"/>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
            </w:r>
          </w:p>
        </w:tc>
        <w:tc>
          <w:tcPr>
            <w:tcW w:type="dxa" w:w="367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Approche classique</w:t>
            </w:r>
          </w:p>
        </w:tc>
        <w:tc>
          <w:tcPr>
            <w:tcW w:type="dxa" w:w="3384"/>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Approche AGILE</w:t>
            </w:r>
          </w:p>
        </w:tc>
      </w:tr>
      <w:tr>
        <w:trPr>
          <w:cantSplit/>
        </w:trPr>
        <w:tc>
          <w:tcPr>
            <w:tcW w:type="dxa" w:w="19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Cycle de vie</w:t>
            </w:r>
          </w:p>
        </w:tc>
        <w:tc>
          <w:tcPr>
            <w:tcW w:type="dxa" w:w="367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cascade ou en V, rétroaction possible, phases séquentielles</w:t>
            </w:r>
          </w:p>
        </w:tc>
        <w:tc>
          <w:tcPr>
            <w:tcW w:type="dxa" w:w="338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Semi itératif et incrémental</w:t>
            </w:r>
          </w:p>
        </w:tc>
      </w:tr>
      <w:tr>
        <w:trPr>
          <w:cantSplit/>
        </w:trPr>
        <w:tc>
          <w:tcPr>
            <w:tcW w:type="dxa" w:w="19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Planification</w:t>
            </w:r>
          </w:p>
        </w:tc>
        <w:tc>
          <w:tcPr>
            <w:tcW w:type="dxa" w:w="367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Prédictive, caractérisée par des plans plus ou moins détaillés sur la base d’un périmètre et d’exigences définies et stables au début du projet</w:t>
            </w:r>
          </w:p>
        </w:tc>
        <w:tc>
          <w:tcPr>
            <w:tcW w:type="dxa" w:w="338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Adaptative avec plusieurs niveaux de planification (macro et micro planification) avec ajustements si nécessaires au fil de l’eau en fonction des changements survenus</w:t>
            </w:r>
          </w:p>
        </w:tc>
      </w:tr>
      <w:tr>
        <w:trPr>
          <w:cantSplit/>
        </w:trPr>
        <w:tc>
          <w:tcPr>
            <w:tcW w:type="dxa" w:w="19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Documentation</w:t>
            </w:r>
          </w:p>
        </w:tc>
        <w:tc>
          <w:tcPr>
            <w:tcW w:type="dxa" w:w="367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Produite en quantité importante comme support de communication, de validation et de contractualisation.</w:t>
            </w:r>
          </w:p>
        </w:tc>
        <w:tc>
          <w:tcPr>
            <w:tcW w:type="dxa" w:w="338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Réduite au stricte nécessaire</w:t>
            </w:r>
          </w:p>
          <w:p>
            <w:pPr>
              <w:spacing w:after="40"/>
            </w:pPr>
            <w:r>
              <w:rPr>
                <w:rFonts w:ascii="Arial" w:cs="Arial" w:eastAsia="Arial" w:hAnsi="Arial"/>
                <w:b w:val="false"/>
                <w:bCs w:val="false"/>
                <w:sz w:val="18"/>
                <w:szCs w:val="18"/>
              </w:rPr>
              <w:t xml:space="preserve">au profit d’incréments fonctionnels et opérationnels pour obtenir le feedback du client</w:t>
            </w:r>
          </w:p>
        </w:tc>
      </w:tr>
      <w:tr>
        <w:trPr>
          <w:cantSplit/>
        </w:trPr>
        <w:tc>
          <w:tcPr>
            <w:tcW w:type="dxa" w:w="19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Equipe</w:t>
            </w:r>
          </w:p>
        </w:tc>
        <w:tc>
          <w:tcPr>
            <w:tcW w:type="dxa" w:w="367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Une équipe avec des ressources spécialisées, dirigées par un chef de projet</w:t>
            </w:r>
          </w:p>
        </w:tc>
        <w:tc>
          <w:tcPr>
            <w:tcW w:type="dxa" w:w="338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Une équipe responsabilisée communication sont 28 privilégiées, soutenues par un coordinateur de projet</w:t>
            </w:r>
          </w:p>
        </w:tc>
      </w:tr>
      <w:tr>
        <w:trPr>
          <w:cantSplit/>
        </w:trPr>
        <w:tc>
          <w:tcPr>
            <w:tcW w:type="dxa" w:w="19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Qualité</w:t>
            </w:r>
          </w:p>
        </w:tc>
        <w:tc>
          <w:tcPr>
            <w:tcW w:type="dxa" w:w="367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Contrôle de qualité à la fin du cycle de développement. Le client découvre le produit fini</w:t>
            </w:r>
          </w:p>
        </w:tc>
        <w:tc>
          <w:tcPr>
            <w:tcW w:type="dxa" w:w="338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contrôle qualité précoce et permanent, au niveau du produit et du processus, Le client visualise les résultats tôt et fréquemment</w:t>
            </w:r>
          </w:p>
        </w:tc>
      </w:tr>
      <w:tr>
        <w:trPr>
          <w:cantSplit/>
        </w:trPr>
        <w:tc>
          <w:tcPr>
            <w:tcW w:type="dxa" w:w="19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Changement</w:t>
            </w:r>
          </w:p>
        </w:tc>
        <w:tc>
          <w:tcPr>
            <w:tcW w:type="dxa" w:w="367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Résistance, voire opposition au changement. Processus lourds de gestion des changements acceptés</w:t>
            </w:r>
          </w:p>
        </w:tc>
        <w:tc>
          <w:tcPr>
            <w:tcW w:type="dxa" w:w="338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Accueil favorable au changement inéluctable, intégré dans le processus</w:t>
            </w:r>
          </w:p>
        </w:tc>
      </w:tr>
      <w:tr>
        <w:trPr>
          <w:cantSplit/>
        </w:trPr>
        <w:tc>
          <w:tcPr>
            <w:tcW w:type="dxa" w:w="19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Suivi de l’avancement</w:t>
            </w:r>
          </w:p>
        </w:tc>
        <w:tc>
          <w:tcPr>
            <w:tcW w:type="dxa" w:w="367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Mesure de la conformité aux plans initiaux, analyse des écarts</w:t>
            </w:r>
          </w:p>
        </w:tc>
        <w:tc>
          <w:tcPr>
            <w:tcW w:type="dxa" w:w="338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bl>
    <w:p>
      <w:pPr>
        <w:spacing w:after="160"/>
      </w:pPr>
    </w:p>
    <w:p>
      <w:pPr>
        <w:keepNext/>
        <w:spacing w:after="40" w:before="240"/>
      </w:pPr>
      <w:r>
        <w:rPr>
          <w:rFonts w:ascii="Arial" w:cs="Arial" w:eastAsia="Arial" w:hAnsi="Arial"/>
          <w:b/>
          <w:bCs/>
          <w:color w:val="332E86"/>
          <w:sz w:val="21"/>
          <w:szCs w:val="21"/>
        </w:rPr>
        <w:t xml:space="preserve">Tableau 12 : Comparaison des méthodes AGILE</w:t>
      </w:r>
    </w:p>
    <w:p>
      <w:pPr>
        <w:keepNext/>
        <w:spacing w:after="80"/>
      </w:pPr>
      <w:r>
        <w:rPr>
          <w:rFonts w:ascii="Arial" w:cs="Arial" w:eastAsia="Arial" w:hAnsi="Arial"/>
          <w:color w:val="777788"/>
          <w:sz w:val="17"/>
          <w:szCs w:val="17"/>
        </w:rPr>
        <w:t xml:space="preserve">Section : 4.3.2. Méthodes de conception et outils utilisés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9"/>
        <w:gridCol w:w="2541"/>
        <w:gridCol w:w="2541"/>
        <w:gridCol w:w="2395"/>
      </w:tblGrid>
      <w:tr>
        <w:trPr>
          <w:tblHeader/>
        </w:trPr>
        <w:tc>
          <w:tcPr>
            <w:tcW w:type="dxa" w:w="1549"/>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
            </w:r>
          </w:p>
        </w:tc>
        <w:tc>
          <w:tcPr>
            <w:tcW w:type="dxa" w:w="254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Kanban</w:t>
            </w:r>
          </w:p>
        </w:tc>
        <w:tc>
          <w:tcPr>
            <w:tcW w:type="dxa" w:w="254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SRUM</w:t>
            </w:r>
          </w:p>
        </w:tc>
        <w:tc>
          <w:tcPr>
            <w:tcW w:type="dxa" w:w="2395"/>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XP</w:t>
            </w:r>
          </w:p>
        </w:tc>
      </w:tr>
      <w:tr>
        <w:trPr>
          <w:cantSplit/>
        </w:trPr>
        <w:tc>
          <w:tcPr>
            <w:tcW w:type="dxa" w:w="154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Itération</w:t>
            </w:r>
          </w:p>
        </w:tc>
        <w:tc>
          <w:tcPr>
            <w:tcW w:type="dxa" w:w="25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Indéfini</w:t>
            </w:r>
          </w:p>
        </w:tc>
        <w:tc>
          <w:tcPr>
            <w:tcW w:type="dxa" w:w="25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 à 4 semaines</w:t>
            </w:r>
          </w:p>
        </w:tc>
        <w:tc>
          <w:tcPr>
            <w:tcW w:type="dxa" w:w="239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 à 3 semaines</w:t>
            </w:r>
          </w:p>
        </w:tc>
      </w:tr>
      <w:tr>
        <w:trPr>
          <w:cantSplit/>
        </w:trPr>
        <w:tc>
          <w:tcPr>
            <w:tcW w:type="dxa" w:w="154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Changement</w:t>
            </w:r>
          </w:p>
        </w:tc>
        <w:tc>
          <w:tcPr>
            <w:tcW w:type="dxa" w:w="25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Ajouté directement dans le tableau kanban</w:t>
            </w:r>
          </w:p>
        </w:tc>
        <w:tc>
          <w:tcPr>
            <w:tcW w:type="dxa" w:w="25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Doit attendre au prochain sprint</w:t>
            </w:r>
          </w:p>
        </w:tc>
        <w:tc>
          <w:tcPr>
            <w:tcW w:type="dxa" w:w="239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Peut-être implémenté encore débuté une tâche si l’équipe n’a pas</w:t>
            </w:r>
          </w:p>
        </w:tc>
      </w:tr>
      <w:tr>
        <w:trPr>
          <w:cantSplit/>
        </w:trPr>
        <w:tc>
          <w:tcPr>
            <w:tcW w:type="dxa" w:w="154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Backlog</w:t>
            </w:r>
          </w:p>
        </w:tc>
        <w:tc>
          <w:tcPr>
            <w:tcW w:type="dxa" w:w="25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Non précis</w:t>
            </w:r>
          </w:p>
        </w:tc>
        <w:tc>
          <w:tcPr>
            <w:tcW w:type="dxa" w:w="25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Doit être le plus petit possible pour être complété dans un sprint</w:t>
            </w:r>
          </w:p>
        </w:tc>
        <w:tc>
          <w:tcPr>
            <w:tcW w:type="dxa" w:w="239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Découpé en petit afin de pouvoir livrer très fréquemment</w:t>
            </w:r>
          </w:p>
        </w:tc>
      </w:tr>
      <w:tr>
        <w:trPr>
          <w:cantSplit/>
        </w:trPr>
        <w:tc>
          <w:tcPr>
            <w:tcW w:type="dxa" w:w="154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Membre d’équipe</w:t>
            </w:r>
          </w:p>
        </w:tc>
        <w:tc>
          <w:tcPr>
            <w:tcW w:type="dxa" w:w="25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18-20</w:t>
            </w:r>
          </w:p>
        </w:tc>
        <w:tc>
          <w:tcPr>
            <w:tcW w:type="dxa" w:w="25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9 ou moins</w:t>
            </w:r>
          </w:p>
        </w:tc>
        <w:tc>
          <w:tcPr>
            <w:tcW w:type="dxa" w:w="239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w:t>
            </w:r>
          </w:p>
        </w:tc>
      </w:tr>
      <w:tr>
        <w:trPr>
          <w:cantSplit/>
        </w:trPr>
        <w:tc>
          <w:tcPr>
            <w:tcW w:type="dxa" w:w="154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Priorité des tâches</w:t>
            </w:r>
          </w:p>
        </w:tc>
        <w:tc>
          <w:tcPr>
            <w:tcW w:type="dxa" w:w="25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Organisée par l’équipe</w:t>
            </w:r>
          </w:p>
        </w:tc>
        <w:tc>
          <w:tcPr>
            <w:tcW w:type="dxa" w:w="25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Définie par le client</w:t>
            </w:r>
          </w:p>
        </w:tc>
        <w:tc>
          <w:tcPr>
            <w:tcW w:type="dxa" w:w="239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Définie par le client</w:t>
            </w:r>
          </w:p>
        </w:tc>
      </w:tr>
      <w:tr>
        <w:trPr>
          <w:cantSplit/>
        </w:trPr>
        <w:tc>
          <w:tcPr>
            <w:tcW w:type="dxa" w:w="154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Livraison</w:t>
            </w:r>
          </w:p>
        </w:tc>
        <w:tc>
          <w:tcPr>
            <w:tcW w:type="dxa" w:w="25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Continu ou approbation après de l’équipe</w:t>
            </w:r>
          </w:p>
        </w:tc>
        <w:tc>
          <w:tcPr>
            <w:tcW w:type="dxa" w:w="25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 la fin d’un sprint si accepté par le maitre d’oeuvre</w:t>
            </w:r>
          </w:p>
        </w:tc>
        <w:tc>
          <w:tcPr>
            <w:tcW w:type="dxa" w:w="239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Après validation du client</w:t>
            </w:r>
          </w:p>
        </w:tc>
      </w:tr>
      <w:tr>
        <w:trPr>
          <w:cantSplit/>
        </w:trPr>
        <w:tc>
          <w:tcPr>
            <w:tcW w:type="dxa" w:w="154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Rôles</w:t>
            </w:r>
          </w:p>
        </w:tc>
        <w:tc>
          <w:tcPr>
            <w:tcW w:type="dxa" w:w="25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Dépendent de l’équipe</w:t>
            </w:r>
          </w:p>
        </w:tc>
        <w:tc>
          <w:tcPr>
            <w:tcW w:type="dxa" w:w="25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Bien définis</w:t>
            </w:r>
          </w:p>
        </w:tc>
        <w:tc>
          <w:tcPr>
            <w:tcW w:type="dxa" w:w="239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Bien définis</w:t>
            </w:r>
          </w:p>
        </w:tc>
      </w:tr>
      <w:tr>
        <w:trPr>
          <w:cantSplit/>
        </w:trPr>
        <w:tc>
          <w:tcPr>
            <w:tcW w:type="dxa" w:w="154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Réunion</w:t>
            </w:r>
          </w:p>
        </w:tc>
        <w:tc>
          <w:tcPr>
            <w:tcW w:type="dxa" w:w="25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Dépends de l’équipe</w:t>
            </w:r>
          </w:p>
        </w:tc>
        <w:tc>
          <w:tcPr>
            <w:tcW w:type="dxa" w:w="25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Hebdomadaire</w:t>
            </w:r>
          </w:p>
        </w:tc>
        <w:tc>
          <w:tcPr>
            <w:tcW w:type="dxa" w:w="239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Dépends de l’équipe</w:t>
            </w:r>
          </w:p>
        </w:tc>
      </w:tr>
    </w:tbl>
    <w:p>
      <w:pPr>
        <w:spacing w:after="160"/>
      </w:pPr>
    </w:p>
    <w:p>
      <w:pPr>
        <w:keepNext/>
        <w:spacing w:after="40" w:before="240"/>
      </w:pPr>
      <w:r>
        <w:rPr>
          <w:rFonts w:ascii="Arial" w:cs="Arial" w:eastAsia="Arial" w:hAnsi="Arial"/>
          <w:b/>
          <w:bCs/>
          <w:color w:val="332E86"/>
          <w:sz w:val="21"/>
          <w:szCs w:val="21"/>
        </w:rPr>
        <w:t xml:space="preserve">Tableau 13 : Comparaison entre MERISE et 2TUP</w:t>
      </w:r>
    </w:p>
    <w:p>
      <w:pPr>
        <w:keepNext/>
        <w:spacing w:after="80"/>
      </w:pPr>
      <w:r>
        <w:rPr>
          <w:rFonts w:ascii="Arial" w:cs="Arial" w:eastAsia="Arial" w:hAnsi="Arial"/>
          <w:color w:val="777788"/>
          <w:sz w:val="17"/>
          <w:szCs w:val="17"/>
        </w:rPr>
        <w:t xml:space="preserve">Section : Choix de la méthode d’analyse et de conception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106"/>
        <w:gridCol w:w="3663"/>
      </w:tblGrid>
      <w:tr>
        <w:trPr>
          <w:tblHeader/>
        </w:trPr>
        <w:tc>
          <w:tcPr>
            <w:tcW w:type="dxa" w:w="2257"/>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Méthode</w:t>
            </w:r>
          </w:p>
        </w:tc>
        <w:tc>
          <w:tcPr>
            <w:tcW w:type="dxa" w:w="310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MERISE</w:t>
            </w:r>
          </w:p>
        </w:tc>
        <w:tc>
          <w:tcPr>
            <w:tcW w:type="dxa" w:w="3663"/>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2TUP</w:t>
            </w:r>
          </w:p>
        </w:tc>
      </w:tr>
      <w:tr>
        <w:trPr>
          <w:cantSplit/>
        </w:trPr>
        <w:tc>
          <w:tcPr>
            <w:tcW w:type="dxa" w:w="22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Description</w:t>
            </w:r>
          </w:p>
        </w:tc>
        <w:tc>
          <w:tcPr>
            <w:tcW w:type="dxa" w:w="310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C’est une méthode d’analyse et de conception d’un système d’information.</w:t>
            </w:r>
          </w:p>
        </w:tc>
        <w:tc>
          <w:tcPr>
            <w:tcW w:type="dxa" w:w="366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2TUP est un processus de développement logiciel qui implémente le processus unifié.</w:t>
            </w:r>
          </w:p>
        </w:tc>
      </w:tr>
      <w:tr>
        <w:trPr>
          <w:cantSplit/>
        </w:trPr>
        <w:tc>
          <w:tcPr>
            <w:tcW w:type="dxa" w:w="22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Avantages</w:t>
            </w:r>
          </w:p>
        </w:tc>
        <w:tc>
          <w:tcPr>
            <w:tcW w:type="dxa" w:w="310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La méthode MERISE est basée sur la séparation des données et des traitements</w:t>
            </w:r>
          </w:p>
        </w:tc>
        <w:tc>
          <w:tcPr>
            <w:tcW w:type="dxa" w:w="366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Processus orienté objet.</w:t>
            </w:r>
          </w:p>
          <w:p>
            <w:pPr>
              <w:spacing w:after="40"/>
            </w:pPr>
            <w:r>
              <w:rPr>
                <w:rFonts w:ascii="Arial" w:cs="Arial" w:eastAsia="Arial" w:hAnsi="Arial"/>
                <w:b/>
                <w:bCs/>
                <w:sz w:val="18"/>
                <w:szCs w:val="18"/>
              </w:rPr>
              <w:t xml:space="preserve">Processus de développement itératif et incrémental</w:t>
            </w:r>
          </w:p>
          <w:p>
            <w:pPr>
              <w:spacing w:after="40"/>
            </w:pPr>
            <w:r>
              <w:rPr>
                <w:rFonts w:ascii="Arial" w:cs="Arial" w:eastAsia="Arial" w:hAnsi="Arial"/>
                <w:b/>
                <w:bCs/>
                <w:sz w:val="18"/>
                <w:szCs w:val="18"/>
              </w:rPr>
              <w:t xml:space="preserve">Centré sur l'architecture</w:t>
            </w:r>
          </w:p>
          <w:p>
            <w:pPr>
              <w:spacing w:after="40"/>
            </w:pPr>
            <w:r>
              <w:rPr>
                <w:rFonts w:ascii="Arial" w:cs="Arial" w:eastAsia="Arial" w:hAnsi="Arial"/>
                <w:b/>
                <w:bCs/>
                <w:sz w:val="18"/>
                <w:szCs w:val="18"/>
              </w:rPr>
              <w:t xml:space="preserve">Piloté par les cas d'utilisation d'UML</w:t>
            </w:r>
          </w:p>
          <w:p>
            <w:pPr>
              <w:spacing w:after="40"/>
            </w:pPr>
            <w:r>
              <w:rPr>
                <w:rFonts w:ascii="Arial" w:cs="Arial" w:eastAsia="Arial" w:hAnsi="Arial"/>
                <w:b/>
                <w:bCs/>
                <w:sz w:val="18"/>
                <w:szCs w:val="18"/>
              </w:rPr>
              <w:t xml:space="preserve">Piloté par les risques</w:t>
            </w:r>
          </w:p>
        </w:tc>
      </w:tr>
      <w:tr>
        <w:trPr>
          <w:cantSplit/>
        </w:trPr>
        <w:tc>
          <w:tcPr>
            <w:tcW w:type="dxa" w:w="22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Inconvénients</w:t>
            </w:r>
          </w:p>
        </w:tc>
        <w:tc>
          <w:tcPr>
            <w:tcW w:type="dxa" w:w="310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Non orienté objet</w:t>
            </w:r>
          </w:p>
        </w:tc>
        <w:tc>
          <w:tcPr>
            <w:tcW w:type="dxa" w:w="366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Gestion de projet plus complexe : planification adaptative</w:t>
            </w:r>
          </w:p>
        </w:tc>
      </w:tr>
    </w:tbl>
    <w:p>
      <w:pPr>
        <w:spacing w:after="160"/>
      </w:pPr>
    </w:p>
    <w:p>
      <w:pPr>
        <w:keepNext/>
        <w:spacing w:after="40" w:before="240"/>
      </w:pPr>
      <w:r>
        <w:rPr>
          <w:rFonts w:ascii="Arial" w:cs="Arial" w:eastAsia="Arial" w:hAnsi="Arial"/>
          <w:b/>
          <w:bCs/>
          <w:color w:val="332E86"/>
          <w:sz w:val="21"/>
          <w:szCs w:val="21"/>
        </w:rPr>
        <w:t xml:space="preserve">Tableau 14 : Comparaison des outils de modelisation UML</w:t>
      </w:r>
    </w:p>
    <w:p>
      <w:pPr>
        <w:keepNext/>
        <w:spacing w:after="80"/>
      </w:pPr>
      <w:r>
        <w:rPr>
          <w:rFonts w:ascii="Arial" w:cs="Arial" w:eastAsia="Arial" w:hAnsi="Arial"/>
          <w:color w:val="777788"/>
          <w:sz w:val="17"/>
          <w:szCs w:val="17"/>
        </w:rPr>
        <w:t xml:space="preserve">Section : Outil de modélisation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94"/>
        <w:gridCol w:w="1095"/>
        <w:gridCol w:w="1605"/>
        <w:gridCol w:w="1815"/>
        <w:gridCol w:w="3417"/>
      </w:tblGrid>
      <w:tr>
        <w:trPr>
          <w:tblHeader/>
        </w:trPr>
        <w:tc>
          <w:tcPr>
            <w:tcW w:type="dxa" w:w="1094"/>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NOM</w:t>
            </w:r>
          </w:p>
        </w:tc>
        <w:tc>
          <w:tcPr>
            <w:tcW w:type="dxa" w:w="1095"/>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UML2</w:t>
            </w:r>
          </w:p>
        </w:tc>
        <w:tc>
          <w:tcPr>
            <w:tcW w:type="dxa" w:w="1605"/>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Langages générés</w:t>
            </w:r>
          </w:p>
        </w:tc>
        <w:tc>
          <w:tcPr>
            <w:tcW w:type="dxa" w:w="1815"/>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Intégrabilité</w:t>
            </w:r>
          </w:p>
        </w:tc>
        <w:tc>
          <w:tcPr>
            <w:tcW w:type="dxa" w:w="3417"/>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Détails</w:t>
            </w:r>
          </w:p>
        </w:tc>
      </w:tr>
      <w:tr>
        <w:trPr>
          <w:cantSplit/>
        </w:trPr>
        <w:tc>
          <w:tcPr>
            <w:tcW w:type="dxa" w:w="109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ArgoUml</w:t>
            </w:r>
          </w:p>
        </w:tc>
        <w:tc>
          <w:tcPr>
            <w:tcW w:type="dxa" w:w="109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Non</w:t>
            </w:r>
          </w:p>
        </w:tc>
        <w:tc>
          <w:tcPr>
            <w:tcW w:type="dxa" w:w="160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C++, C#, PHP4, PHP5,</w:t>
            </w:r>
          </w:p>
          <w:p>
            <w:pPr>
              <w:spacing w:after="40"/>
            </w:pPr>
            <w:r>
              <w:rPr>
                <w:rFonts w:ascii="Arial" w:cs="Arial" w:eastAsia="Arial" w:hAnsi="Arial"/>
                <w:b/>
                <w:bCs/>
                <w:sz w:val="18"/>
                <w:szCs w:val="18"/>
              </w:rPr>
              <w:t xml:space="preserve">Java, Ruby, SQL</w:t>
            </w:r>
          </w:p>
        </w:tc>
        <w:tc>
          <w:tcPr>
            <w:tcW w:type="dxa" w:w="18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c>
          <w:tcPr>
            <w:tcW w:type="dxa" w:w="341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Suit de près les standards UML</w:t>
            </w:r>
          </w:p>
        </w:tc>
      </w:tr>
      <w:tr>
        <w:trPr>
          <w:cantSplit/>
        </w:trPr>
        <w:tc>
          <w:tcPr>
            <w:tcW w:type="dxa" w:w="109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Visual Paradigm for UML</w:t>
            </w:r>
          </w:p>
        </w:tc>
        <w:tc>
          <w:tcPr>
            <w:tcW w:type="dxa" w:w="109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Oui</w:t>
            </w:r>
          </w:p>
        </w:tc>
        <w:tc>
          <w:tcPr>
            <w:tcW w:type="dxa" w:w="160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Java, C#, C++, PHP,Action Script</w:t>
            </w:r>
          </w:p>
        </w:tc>
        <w:tc>
          <w:tcPr>
            <w:tcW w:type="dxa" w:w="181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Eclipse,NetBeans et IntelliJ</w:t>
            </w:r>
          </w:p>
        </w:tc>
        <w:tc>
          <w:tcPr>
            <w:tcW w:type="dxa" w:w="341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Support complet de l'UML 2.1, Sys ML, ERD, BPMN, modélisation de données, modélisation de métier et rétro-conception à partir de code source et de base de données.</w:t>
            </w:r>
          </w:p>
        </w:tc>
      </w:tr>
      <w:tr>
        <w:trPr>
          <w:cantSplit/>
        </w:trPr>
        <w:tc>
          <w:tcPr>
            <w:tcW w:type="dxa" w:w="109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Katappult</w:t>
            </w:r>
          </w:p>
        </w:tc>
        <w:tc>
          <w:tcPr>
            <w:tcW w:type="dxa" w:w="109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Non</w:t>
            </w:r>
          </w:p>
        </w:tc>
        <w:tc>
          <w:tcPr>
            <w:tcW w:type="dxa" w:w="160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Java, Javascript, Dart</w:t>
            </w:r>
          </w:p>
        </w:tc>
        <w:tc>
          <w:tcPr>
            <w:tcW w:type="dxa" w:w="18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Eclipse</w:t>
            </w:r>
          </w:p>
        </w:tc>
        <w:tc>
          <w:tcPr>
            <w:tcW w:type="dxa" w:w="341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Modélisation de données, génération du diagramme de classe avec Katappult UML Viewer</w:t>
            </w:r>
          </w:p>
        </w:tc>
      </w:tr>
      <w:tr>
        <w:trPr>
          <w:cantSplit/>
        </w:trPr>
        <w:tc>
          <w:tcPr>
            <w:tcW w:type="dxa" w:w="109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UML Designer</w:t>
            </w:r>
          </w:p>
        </w:tc>
        <w:tc>
          <w:tcPr>
            <w:tcW w:type="dxa" w:w="109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Oui</w:t>
            </w:r>
          </w:p>
        </w:tc>
        <w:tc>
          <w:tcPr>
            <w:tcW w:type="dxa" w:w="160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Java, JavaEE, C/C++,</w:t>
            </w:r>
          </w:p>
        </w:tc>
        <w:tc>
          <w:tcPr>
            <w:tcW w:type="dxa" w:w="181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Eclipse</w:t>
            </w:r>
          </w:p>
        </w:tc>
        <w:tc>
          <w:tcPr>
            <w:tcW w:type="dxa" w:w="341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Supporte le format Eclipse UML2 nativement, et la majorité des diagrammes UML2. Possibilité de créer ses propres diagrammes.</w:t>
            </w:r>
          </w:p>
        </w:tc>
      </w:tr>
    </w:tbl>
    <w:p>
      <w:pPr>
        <w:spacing w:after="160"/>
      </w:pPr>
    </w:p>
    <w:p>
      <w:pPr>
        <w:keepNext/>
        <w:spacing w:after="40" w:before="240"/>
      </w:pPr>
      <w:r>
        <w:rPr>
          <w:rFonts w:ascii="Arial" w:cs="Arial" w:eastAsia="Arial" w:hAnsi="Arial"/>
          <w:b/>
          <w:bCs/>
          <w:color w:val="332E86"/>
          <w:sz w:val="21"/>
          <w:szCs w:val="21"/>
        </w:rPr>
        <w:t xml:space="preserve">Tableau 15 : Comparaison de SGBD</w:t>
      </w:r>
    </w:p>
    <w:p>
      <w:pPr>
        <w:keepNext/>
        <w:spacing w:after="80"/>
      </w:pPr>
      <w:r>
        <w:rPr>
          <w:rFonts w:ascii="Arial" w:cs="Arial" w:eastAsia="Arial" w:hAnsi="Arial"/>
          <w:color w:val="777788"/>
          <w:sz w:val="17"/>
          <w:szCs w:val="17"/>
        </w:rPr>
        <w:t xml:space="preserve">Section : Choix du SGBD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71"/>
        <w:gridCol w:w="1772"/>
        <w:gridCol w:w="3009"/>
        <w:gridCol w:w="2874"/>
      </w:tblGrid>
      <w:tr>
        <w:trPr>
          <w:tblHeader/>
        </w:trPr>
        <w:tc>
          <w:tcPr>
            <w:tcW w:type="dxa" w:w="137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SGBD</w:t>
            </w:r>
          </w:p>
        </w:tc>
        <w:tc>
          <w:tcPr>
            <w:tcW w:type="dxa" w:w="1772"/>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Disponibilité</w:t>
            </w:r>
          </w:p>
        </w:tc>
        <w:tc>
          <w:tcPr>
            <w:tcW w:type="dxa" w:w="3009"/>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Avantages</w:t>
            </w:r>
          </w:p>
        </w:tc>
        <w:tc>
          <w:tcPr>
            <w:tcW w:type="dxa" w:w="2874"/>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Inconvénients</w:t>
            </w:r>
          </w:p>
        </w:tc>
      </w:tr>
      <w:tr>
        <w:trPr>
          <w:cantSplit/>
        </w:trPr>
        <w:tc>
          <w:tcPr>
            <w:tcW w:type="dxa" w:w="137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MySQL</w:t>
            </w:r>
          </w:p>
        </w:tc>
        <w:tc>
          <w:tcPr>
            <w:tcW w:type="dxa" w:w="17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Linux;</w:t>
            </w:r>
          </w:p>
          <w:p>
            <w:pPr>
              <w:spacing w:after="40"/>
            </w:pPr>
            <w:r>
              <w:rPr>
                <w:rFonts w:ascii="Arial" w:cs="Arial" w:eastAsia="Arial" w:hAnsi="Arial"/>
                <w:b w:val="false"/>
                <w:bCs w:val="false"/>
                <w:sz w:val="18"/>
                <w:szCs w:val="18"/>
              </w:rPr>
              <w:t xml:space="preserve">Windows;</w:t>
            </w:r>
          </w:p>
          <w:p>
            <w:pPr>
              <w:spacing w:after="40"/>
            </w:pPr>
            <w:r>
              <w:rPr>
                <w:rFonts w:ascii="Arial" w:cs="Arial" w:eastAsia="Arial" w:hAnsi="Arial"/>
                <w:b w:val="false"/>
                <w:bCs w:val="false"/>
                <w:sz w:val="18"/>
                <w:szCs w:val="18"/>
              </w:rPr>
              <w:t xml:space="preserve">MACOSX;</w:t>
            </w:r>
          </w:p>
          <w:p>
            <w:pPr>
              <w:spacing w:after="40"/>
            </w:pPr>
            <w:r>
              <w:rPr>
                <w:rFonts w:ascii="Arial" w:cs="Arial" w:eastAsia="Arial" w:hAnsi="Arial"/>
                <w:b w:val="false"/>
                <w:bCs w:val="false"/>
                <w:sz w:val="18"/>
                <w:szCs w:val="18"/>
              </w:rPr>
              <w:t xml:space="preserve">BSD;</w:t>
            </w:r>
          </w:p>
          <w:p>
            <w:pPr>
              <w:spacing w:after="40"/>
            </w:pPr>
            <w:r>
              <w:rPr>
                <w:rFonts w:ascii="Arial" w:cs="Arial" w:eastAsia="Arial" w:hAnsi="Arial"/>
                <w:b w:val="false"/>
                <w:bCs w:val="false"/>
                <w:sz w:val="18"/>
                <w:szCs w:val="18"/>
              </w:rPr>
              <w:t xml:space="preserve">OS2</w:t>
            </w:r>
          </w:p>
        </w:tc>
        <w:tc>
          <w:tcPr>
            <w:tcW w:type="dxa" w:w="300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Solution très courante en hébergement public ;</w:t>
            </w:r>
          </w:p>
          <w:p>
            <w:pPr>
              <w:spacing w:after="40"/>
            </w:pPr>
            <w:r>
              <w:rPr>
                <w:rFonts w:ascii="Arial" w:cs="Arial" w:eastAsia="Arial" w:hAnsi="Arial"/>
                <w:b w:val="false"/>
                <w:bCs w:val="false"/>
                <w:sz w:val="18"/>
                <w:szCs w:val="18"/>
              </w:rPr>
              <w:t xml:space="preserve">Open Source ;</w:t>
            </w:r>
          </w:p>
          <w:p>
            <w:pPr>
              <w:spacing w:after="40"/>
            </w:pPr>
            <w:r>
              <w:rPr>
                <w:rFonts w:ascii="Arial" w:cs="Arial" w:eastAsia="Arial" w:hAnsi="Arial"/>
                <w:b w:val="false"/>
                <w:bCs w:val="false"/>
                <w:sz w:val="18"/>
                <w:szCs w:val="18"/>
              </w:rPr>
              <w:t xml:space="preserve">Facilité de déploiement et de prise en main ;</w:t>
            </w:r>
          </w:p>
          <w:p>
            <w:pPr>
              <w:spacing w:after="40"/>
            </w:pPr>
            <w:r>
              <w:rPr>
                <w:rFonts w:ascii="Arial" w:cs="Arial" w:eastAsia="Arial" w:hAnsi="Arial"/>
                <w:b w:val="false"/>
                <w:bCs w:val="false"/>
                <w:sz w:val="18"/>
                <w:szCs w:val="18"/>
              </w:rPr>
              <w:t xml:space="preserve">Riche en documentation ;</w:t>
            </w:r>
          </w:p>
        </w:tc>
        <w:tc>
          <w:tcPr>
            <w:tcW w:type="dxa" w:w="287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Ne supporte qu'une faible partie</w:t>
            </w:r>
          </w:p>
          <w:p>
            <w:pPr>
              <w:spacing w:after="40"/>
            </w:pPr>
            <w:r>
              <w:rPr>
                <w:rFonts w:ascii="Arial" w:cs="Arial" w:eastAsia="Arial" w:hAnsi="Arial"/>
                <w:b/>
                <w:bCs/>
                <w:sz w:val="18"/>
                <w:szCs w:val="18"/>
              </w:rPr>
              <w:t xml:space="preserve">des standards SQL ;</w:t>
            </w:r>
          </w:p>
          <w:p>
            <w:pPr>
              <w:spacing w:after="40"/>
            </w:pPr>
            <w:r>
              <w:rPr>
                <w:rFonts w:ascii="Arial" w:cs="Arial" w:eastAsia="Arial" w:hAnsi="Arial"/>
                <w:b/>
                <w:bCs/>
                <w:sz w:val="18"/>
                <w:szCs w:val="18"/>
              </w:rPr>
              <w:t xml:space="preserve">Manque de robustesse avec de fortes volumétries ;</w:t>
            </w:r>
          </w:p>
          <w:p>
            <w:pPr>
              <w:spacing w:after="40"/>
            </w:pPr>
            <w:r>
              <w:rPr>
                <w:rFonts w:ascii="Arial" w:cs="Arial" w:eastAsia="Arial" w:hAnsi="Arial"/>
                <w:b/>
                <w:bCs/>
                <w:sz w:val="18"/>
                <w:szCs w:val="18"/>
              </w:rPr>
              <w:t xml:space="preserve">Pas de vue matérialisée</w:t>
            </w:r>
          </w:p>
        </w:tc>
      </w:tr>
      <w:tr>
        <w:trPr>
          <w:cantSplit/>
        </w:trPr>
        <w:tc>
          <w:tcPr>
            <w:tcW w:type="dxa" w:w="137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Oracle</w:t>
            </w:r>
          </w:p>
        </w:tc>
        <w:tc>
          <w:tcPr>
            <w:tcW w:type="dxa" w:w="17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Linux;</w:t>
            </w:r>
          </w:p>
          <w:p>
            <w:pPr>
              <w:spacing w:after="40"/>
            </w:pPr>
            <w:r>
              <w:rPr>
                <w:rFonts w:ascii="Arial" w:cs="Arial" w:eastAsia="Arial" w:hAnsi="Arial"/>
                <w:b w:val="false"/>
                <w:bCs w:val="false"/>
                <w:sz w:val="18"/>
                <w:szCs w:val="18"/>
              </w:rPr>
              <w:t xml:space="preserve">Windows;</w:t>
            </w:r>
          </w:p>
          <w:p>
            <w:pPr>
              <w:spacing w:after="40"/>
            </w:pPr>
            <w:r>
              <w:rPr>
                <w:rFonts w:ascii="Arial" w:cs="Arial" w:eastAsia="Arial" w:hAnsi="Arial"/>
                <w:b w:val="false"/>
                <w:bCs w:val="false"/>
                <w:sz w:val="18"/>
                <w:szCs w:val="18"/>
              </w:rPr>
              <w:t xml:space="preserve">MACOSX;</w:t>
            </w:r>
          </w:p>
          <w:p>
            <w:pPr>
              <w:spacing w:after="40"/>
            </w:pPr>
            <w:r>
              <w:rPr>
                <w:rFonts w:ascii="Arial" w:cs="Arial" w:eastAsia="Arial" w:hAnsi="Arial"/>
                <w:b w:val="false"/>
                <w:bCs w:val="false"/>
                <w:sz w:val="18"/>
                <w:szCs w:val="18"/>
              </w:rPr>
              <w:t xml:space="preserve">Unix</w:t>
            </w:r>
          </w:p>
        </w:tc>
        <w:tc>
          <w:tcPr>
            <w:tcW w:type="dxa" w:w="300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Plus portable (machines / architecture) ;</w:t>
            </w:r>
          </w:p>
          <w:p>
            <w:pPr>
              <w:spacing w:after="40"/>
            </w:pPr>
            <w:r>
              <w:rPr>
                <w:rFonts w:ascii="Arial" w:cs="Arial" w:eastAsia="Arial" w:hAnsi="Arial"/>
                <w:b w:val="false"/>
                <w:bCs w:val="false"/>
                <w:sz w:val="18"/>
                <w:szCs w:val="18"/>
              </w:rPr>
              <w:t xml:space="preserve">Plus riche en termes de fonctionnalités ;</w:t>
            </w:r>
          </w:p>
          <w:p>
            <w:pPr>
              <w:spacing w:after="40"/>
            </w:pPr>
            <w:r>
              <w:rPr>
                <w:rFonts w:ascii="Arial" w:cs="Arial" w:eastAsia="Arial" w:hAnsi="Arial"/>
                <w:b w:val="false"/>
                <w:bCs w:val="false"/>
                <w:sz w:val="18"/>
                <w:szCs w:val="18"/>
              </w:rPr>
              <w:t xml:space="preserve">Plus utilisé (48% marché</w:t>
            </w:r>
          </w:p>
          <w:p>
            <w:pPr>
              <w:spacing w:after="40"/>
            </w:pPr>
            <w:r>
              <w:rPr>
                <w:rFonts w:ascii="Arial" w:cs="Arial" w:eastAsia="Arial" w:hAnsi="Arial"/>
                <w:b w:val="false"/>
                <w:bCs w:val="false"/>
                <w:sz w:val="18"/>
                <w:szCs w:val="18"/>
              </w:rPr>
              <w:t xml:space="preserve">global)</w:t>
            </w:r>
          </w:p>
        </w:tc>
        <w:tc>
          <w:tcPr>
            <w:tcW w:type="dxa" w:w="287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Administration complexe ;</w:t>
            </w:r>
          </w:p>
          <w:p>
            <w:pPr>
              <w:spacing w:after="40"/>
            </w:pPr>
            <w:r>
              <w:rPr>
                <w:rFonts w:ascii="Arial" w:cs="Arial" w:eastAsia="Arial" w:hAnsi="Arial"/>
                <w:b/>
                <w:bCs/>
                <w:sz w:val="18"/>
                <w:szCs w:val="18"/>
              </w:rPr>
              <w:t xml:space="preserve">Prix élevé ;</w:t>
            </w:r>
          </w:p>
          <w:p>
            <w:pPr>
              <w:spacing w:after="40"/>
            </w:pPr>
            <w:r>
              <w:rPr>
                <w:rFonts w:ascii="Arial" w:cs="Arial" w:eastAsia="Arial" w:hAnsi="Arial"/>
                <w:b/>
                <w:bCs/>
                <w:sz w:val="18"/>
                <w:szCs w:val="18"/>
              </w:rPr>
              <w:t xml:space="preserve">Demande beaucoup de ressources</w:t>
            </w:r>
          </w:p>
        </w:tc>
      </w:tr>
      <w:tr>
        <w:trPr>
          <w:cantSplit/>
        </w:trPr>
        <w:tc>
          <w:tcPr>
            <w:tcW w:type="dxa" w:w="137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PostgreSQL</w:t>
            </w:r>
          </w:p>
        </w:tc>
        <w:tc>
          <w:tcPr>
            <w:tcW w:type="dxa" w:w="17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Linux;</w:t>
            </w:r>
          </w:p>
          <w:p>
            <w:pPr>
              <w:spacing w:after="40"/>
            </w:pPr>
            <w:r>
              <w:rPr>
                <w:rFonts w:ascii="Arial" w:cs="Arial" w:eastAsia="Arial" w:hAnsi="Arial"/>
                <w:b w:val="false"/>
                <w:bCs w:val="false"/>
                <w:sz w:val="18"/>
                <w:szCs w:val="18"/>
              </w:rPr>
              <w:t xml:space="preserve">Windows;</w:t>
            </w:r>
          </w:p>
          <w:p>
            <w:pPr>
              <w:spacing w:after="40"/>
            </w:pPr>
            <w:r>
              <w:rPr>
                <w:rFonts w:ascii="Arial" w:cs="Arial" w:eastAsia="Arial" w:hAnsi="Arial"/>
                <w:b w:val="false"/>
                <w:bCs w:val="false"/>
                <w:sz w:val="18"/>
                <w:szCs w:val="18"/>
              </w:rPr>
              <w:t xml:space="preserve">MACOSX;</w:t>
            </w:r>
          </w:p>
          <w:p>
            <w:pPr>
              <w:spacing w:after="40"/>
            </w:pPr>
            <w:r>
              <w:rPr>
                <w:rFonts w:ascii="Arial" w:cs="Arial" w:eastAsia="Arial" w:hAnsi="Arial"/>
                <w:b w:val="false"/>
                <w:bCs w:val="false"/>
                <w:sz w:val="18"/>
                <w:szCs w:val="18"/>
              </w:rPr>
              <w:t xml:space="preserve">Unix</w:t>
            </w:r>
          </w:p>
        </w:tc>
        <w:tc>
          <w:tcPr>
            <w:tcW w:type="dxa" w:w="300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Riche fonctionnellement ;</w:t>
            </w:r>
          </w:p>
          <w:p>
            <w:pPr>
              <w:spacing w:after="40"/>
            </w:pPr>
            <w:r>
              <w:rPr>
                <w:rFonts w:ascii="Arial" w:cs="Arial" w:eastAsia="Arial" w:hAnsi="Arial"/>
                <w:b w:val="false"/>
                <w:bCs w:val="false"/>
                <w:sz w:val="18"/>
                <w:szCs w:val="18"/>
              </w:rPr>
              <w:t xml:space="preserve">Fiable et relativement ;</w:t>
            </w:r>
          </w:p>
          <w:p>
            <w:pPr>
              <w:spacing w:after="40"/>
            </w:pPr>
            <w:r>
              <w:rPr>
                <w:rFonts w:ascii="Arial" w:cs="Arial" w:eastAsia="Arial" w:hAnsi="Arial"/>
                <w:b w:val="false"/>
                <w:bCs w:val="false"/>
                <w:sz w:val="18"/>
                <w:szCs w:val="18"/>
              </w:rPr>
              <w:t xml:space="preserve">Performant, tout en restant simple d’utilisation ;</w:t>
            </w:r>
          </w:p>
          <w:p>
            <w:pPr>
              <w:spacing w:after="40"/>
            </w:pPr>
            <w:r>
              <w:rPr>
                <w:rFonts w:ascii="Arial" w:cs="Arial" w:eastAsia="Arial" w:hAnsi="Arial"/>
                <w:b w:val="false"/>
                <w:bCs w:val="false"/>
                <w:sz w:val="18"/>
                <w:szCs w:val="18"/>
              </w:rPr>
              <w:t xml:space="preserve">Open Source et gratuit ;</w:t>
            </w:r>
          </w:p>
        </w:tc>
        <w:tc>
          <w:tcPr>
            <w:tcW w:type="dxa" w:w="287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Pas possible de requêter sur plusieurs bases à la fois : chaque base nécessite sa connexion ;</w:t>
            </w:r>
          </w:p>
          <w:p>
            <w:pPr>
              <w:spacing w:after="40"/>
            </w:pPr>
            <w:r>
              <w:rPr>
                <w:rFonts w:ascii="Arial" w:cs="Arial" w:eastAsia="Arial" w:hAnsi="Arial"/>
                <w:b/>
                <w:bCs/>
                <w:sz w:val="18"/>
                <w:szCs w:val="18"/>
              </w:rPr>
              <w:t xml:space="preserve">Supporte les bases de données moyennes</w:t>
            </w:r>
          </w:p>
          <w:p>
            <w:pPr>
              <w:spacing w:after="40"/>
            </w:pPr>
            <w:r>
              <w:rPr>
                <w:rFonts w:ascii="Arial" w:cs="Arial" w:eastAsia="Arial" w:hAnsi="Arial"/>
                <w:b/>
                <w:bCs/>
                <w:sz w:val="18"/>
                <w:szCs w:val="18"/>
              </w:rPr>
              <w:t xml:space="preserve">Pas de services Web</w:t>
            </w:r>
          </w:p>
        </w:tc>
      </w:tr>
      <w:tr>
        <w:trPr>
          <w:cantSplit/>
        </w:trPr>
        <w:tc>
          <w:tcPr>
            <w:tcW w:type="dxa" w:w="137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MongoDB</w:t>
            </w:r>
          </w:p>
        </w:tc>
        <w:tc>
          <w:tcPr>
            <w:tcW w:type="dxa" w:w="17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Linux;</w:t>
            </w:r>
          </w:p>
          <w:p>
            <w:pPr>
              <w:spacing w:after="40"/>
            </w:pPr>
            <w:r>
              <w:rPr>
                <w:rFonts w:ascii="Arial" w:cs="Arial" w:eastAsia="Arial" w:hAnsi="Arial"/>
                <w:b/>
                <w:bCs/>
                <w:sz w:val="18"/>
                <w:szCs w:val="18"/>
              </w:rPr>
              <w:t xml:space="preserve">Windows;</w:t>
            </w:r>
          </w:p>
          <w:p>
            <w:pPr>
              <w:spacing w:after="40"/>
            </w:pPr>
            <w:r>
              <w:rPr>
                <w:rFonts w:ascii="Arial" w:cs="Arial" w:eastAsia="Arial" w:hAnsi="Arial"/>
                <w:b/>
                <w:bCs/>
                <w:sz w:val="18"/>
                <w:szCs w:val="18"/>
              </w:rPr>
              <w:t xml:space="preserve">MACOSX;</w:t>
            </w:r>
          </w:p>
          <w:p>
            <w:pPr>
              <w:spacing w:after="40"/>
            </w:pPr>
            <w:r>
              <w:rPr>
                <w:rFonts w:ascii="Arial" w:cs="Arial" w:eastAsia="Arial" w:hAnsi="Arial"/>
                <w:b/>
                <w:bCs/>
                <w:sz w:val="18"/>
                <w:szCs w:val="18"/>
              </w:rPr>
              <w:t xml:space="preserve">Unix</w:t>
            </w:r>
          </w:p>
        </w:tc>
        <w:tc>
          <w:tcPr>
            <w:tcW w:type="dxa" w:w="300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Peut contenir des données énormes; Utilisation des données à schéma qu’on ne peut pas prédéfinir;</w:t>
            </w:r>
          </w:p>
          <w:p>
            <w:pPr>
              <w:spacing w:after="40"/>
            </w:pPr>
            <w:r>
              <w:rPr>
                <w:rFonts w:ascii="Arial" w:cs="Arial" w:eastAsia="Arial" w:hAnsi="Arial"/>
                <w:b/>
                <w:bCs/>
                <w:sz w:val="18"/>
                <w:szCs w:val="18"/>
              </w:rPr>
              <w:t xml:space="preserve">Open Source</w:t>
            </w:r>
          </w:p>
        </w:tc>
        <w:tc>
          <w:tcPr>
            <w:tcW w:type="dxa" w:w="287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Ne supporte pas la Jointure Données non structur</w:t>
            </w:r>
          </w:p>
        </w:tc>
      </w:tr>
    </w:tbl>
    <w:p>
      <w:pPr>
        <w:spacing w:after="160"/>
      </w:pPr>
    </w:p>
    <w:p>
      <w:pPr>
        <w:keepNext/>
        <w:spacing w:after="40" w:before="240"/>
      </w:pPr>
      <w:r>
        <w:rPr>
          <w:rFonts w:ascii="Arial" w:cs="Arial" w:eastAsia="Arial" w:hAnsi="Arial"/>
          <w:b/>
          <w:bCs/>
          <w:color w:val="332E86"/>
          <w:sz w:val="21"/>
          <w:szCs w:val="21"/>
        </w:rPr>
        <w:t xml:space="preserve">Tableau 16 : Comparaison des langages de programmation backend</w:t>
      </w:r>
    </w:p>
    <w:p>
      <w:pPr>
        <w:keepNext/>
        <w:spacing w:after="80"/>
      </w:pPr>
      <w:r>
        <w:rPr>
          <w:rFonts w:ascii="Arial" w:cs="Arial" w:eastAsia="Arial" w:hAnsi="Arial"/>
          <w:color w:val="777788"/>
          <w:sz w:val="17"/>
          <w:szCs w:val="17"/>
        </w:rPr>
        <w:t xml:space="preserve">Section : Choix du langage de programmation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7"/>
        <w:gridCol w:w="2447"/>
        <w:gridCol w:w="2534"/>
        <w:gridCol w:w="2498"/>
      </w:tblGrid>
      <w:tr>
        <w:trPr>
          <w:tblHeader/>
        </w:trPr>
        <w:tc>
          <w:tcPr>
            <w:tcW w:type="dxa" w:w="1547"/>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Critère</w:t>
            </w:r>
          </w:p>
        </w:tc>
        <w:tc>
          <w:tcPr>
            <w:tcW w:type="dxa" w:w="2447"/>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JavaScript</w:t>
            </w:r>
          </w:p>
        </w:tc>
        <w:tc>
          <w:tcPr>
            <w:tcW w:type="dxa" w:w="2534"/>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TypeScript</w:t>
            </w:r>
          </w:p>
        </w:tc>
        <w:tc>
          <w:tcPr>
            <w:tcW w:type="dxa" w:w="2498"/>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Java</w:t>
            </w:r>
          </w:p>
        </w:tc>
      </w:tr>
      <w:tr>
        <w:trPr>
          <w:cantSplit/>
        </w:trPr>
        <w:tc>
          <w:tcPr>
            <w:tcW w:type="dxa" w:w="154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Typage</w:t>
            </w:r>
          </w:p>
        </w:tc>
        <w:tc>
          <w:tcPr>
            <w:tcW w:type="dxa" w:w="244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Dynamique</w:t>
            </w:r>
          </w:p>
        </w:tc>
        <w:tc>
          <w:tcPr>
            <w:tcW w:type="dxa" w:w="253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Statique, avec vérification des types à la compilation</w:t>
            </w:r>
          </w:p>
        </w:tc>
        <w:tc>
          <w:tcPr>
            <w:tcW w:type="dxa" w:w="249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Statique</w:t>
            </w:r>
          </w:p>
        </w:tc>
      </w:tr>
      <w:tr>
        <w:trPr>
          <w:cantSplit/>
        </w:trPr>
        <w:tc>
          <w:tcPr>
            <w:tcW w:type="dxa" w:w="154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Paradigme</w:t>
            </w:r>
          </w:p>
        </w:tc>
        <w:tc>
          <w:tcPr>
            <w:tcW w:type="dxa" w:w="244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Multi-paradigme : fonctionnel, impératif et orienté objet</w:t>
            </w:r>
          </w:p>
        </w:tc>
        <w:tc>
          <w:tcPr>
            <w:tcW w:type="dxa" w:w="253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Multi-paradigme, avec typage statique ajouté à JavaScript</w:t>
            </w:r>
          </w:p>
        </w:tc>
        <w:tc>
          <w:tcPr>
            <w:tcW w:type="dxa" w:w="249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Principalement orienté objet, avec prise en charge d’autres styles</w:t>
            </w:r>
          </w:p>
        </w:tc>
      </w:tr>
      <w:tr>
        <w:trPr>
          <w:cantSplit/>
        </w:trPr>
        <w:tc>
          <w:tcPr>
            <w:tcW w:type="dxa" w:w="154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Environnement d’exécution</w:t>
            </w:r>
          </w:p>
        </w:tc>
        <w:tc>
          <w:tcPr>
            <w:tcW w:type="dxa" w:w="244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Navigateur et environnement serveur Node.js</w:t>
            </w:r>
          </w:p>
        </w:tc>
        <w:tc>
          <w:tcPr>
            <w:tcW w:type="dxa" w:w="253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Transpilé en JavaScript, puis exécuté dans un environnement compatible</w:t>
            </w:r>
          </w:p>
        </w:tc>
        <w:tc>
          <w:tcPr>
            <w:tcW w:type="dxa" w:w="249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Machine virtuelle Java (JVM)</w:t>
            </w:r>
          </w:p>
        </w:tc>
      </w:tr>
      <w:tr>
        <w:trPr>
          <w:cantSplit/>
        </w:trPr>
        <w:tc>
          <w:tcPr>
            <w:tcW w:type="dxa" w:w="154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Avantages</w:t>
            </w:r>
          </w:p>
        </w:tc>
        <w:tc>
          <w:tcPr>
            <w:tcW w:type="dxa" w:w="244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Syntaxe accessible, vaste écosystème et prise en charge par Node.js</w:t>
            </w:r>
          </w:p>
        </w:tc>
        <w:tc>
          <w:tcPr>
            <w:tcW w:type="dxa" w:w="253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Vérification des types, meilleure lisibilité du code et détection anticipée de certaines erreurs</w:t>
            </w:r>
          </w:p>
        </w:tc>
        <w:tc>
          <w:tcPr>
            <w:tcW w:type="dxa" w:w="249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Écosystème mature, outils de développement et prise en charge de systèmes complexes</w:t>
            </w:r>
          </w:p>
        </w:tc>
      </w:tr>
      <w:tr>
        <w:trPr>
          <w:cantSplit/>
        </w:trPr>
        <w:tc>
          <w:tcPr>
            <w:tcW w:type="dxa" w:w="154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Inconvénients</w:t>
            </w:r>
          </w:p>
        </w:tc>
        <w:tc>
          <w:tcPr>
            <w:tcW w:type="dxa" w:w="244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typage dynamique peut rendre certaines erreurs plus difficiles à détecter avant l’exécution</w:t>
            </w:r>
          </w:p>
        </w:tc>
        <w:tc>
          <w:tcPr>
            <w:tcW w:type="dxa" w:w="253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Nécessite une étape de compilation ou de transpilation et une compréhension du système de types</w:t>
            </w:r>
          </w:p>
        </w:tc>
        <w:tc>
          <w:tcPr>
            <w:tcW w:type="dxa" w:w="249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Peut nécessiter davantage de configuration et de code selon l’architecture retenue</w:t>
            </w:r>
          </w:p>
        </w:tc>
      </w:tr>
      <w:tr>
        <w:trPr>
          <w:cantSplit/>
        </w:trPr>
        <w:tc>
          <w:tcPr>
            <w:tcW w:type="dxa" w:w="154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Adéquation au projet</w:t>
            </w:r>
          </w:p>
        </w:tc>
        <w:tc>
          <w:tcPr>
            <w:tcW w:type="dxa" w:w="244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Possible, mais moins sécurisant pour structurer une application volumineuse</w:t>
            </w:r>
          </w:p>
        </w:tc>
        <w:tc>
          <w:tcPr>
            <w:tcW w:type="dxa" w:w="253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Adapté à la structuration d’une API évolutive et au partage de contrats de données</w:t>
            </w:r>
          </w:p>
        </w:tc>
        <w:tc>
          <w:tcPr>
            <w:tcW w:type="dxa" w:w="249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Constitue également une solution adaptée, mais implique un environnement technique différent</w:t>
            </w:r>
          </w:p>
        </w:tc>
      </w:tr>
    </w:tbl>
    <w:p>
      <w:pPr>
        <w:spacing w:after="160"/>
      </w:pPr>
    </w:p>
    <w:p>
      <w:pPr>
        <w:keepNext/>
        <w:spacing w:after="40" w:before="240"/>
      </w:pPr>
      <w:r>
        <w:rPr>
          <w:rFonts w:ascii="Arial" w:cs="Arial" w:eastAsia="Arial" w:hAnsi="Arial"/>
          <w:b/>
          <w:bCs/>
          <w:color w:val="332E86"/>
          <w:sz w:val="21"/>
          <w:szCs w:val="21"/>
        </w:rPr>
        <w:t xml:space="preserve">Tableau 17 : Comparaison des frameworks backend</w:t>
      </w:r>
    </w:p>
    <w:p>
      <w:pPr>
        <w:keepNext/>
        <w:spacing w:after="80"/>
      </w:pPr>
      <w:r>
        <w:rPr>
          <w:rFonts w:ascii="Arial" w:cs="Arial" w:eastAsia="Arial" w:hAnsi="Arial"/>
          <w:color w:val="777788"/>
          <w:sz w:val="17"/>
          <w:szCs w:val="17"/>
        </w:rPr>
        <w:t xml:space="preserve">Section : Choix du framework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8"/>
        <w:gridCol w:w="3707"/>
        <w:gridCol w:w="3751"/>
      </w:tblGrid>
      <w:tr>
        <w:trPr>
          <w:tblHeader/>
        </w:trPr>
        <w:tc>
          <w:tcPr>
            <w:tcW w:type="dxa" w:w="1568"/>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Critère</w:t>
            </w:r>
          </w:p>
        </w:tc>
        <w:tc>
          <w:tcPr>
            <w:tcW w:type="dxa" w:w="3707"/>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ExpressJS</w:t>
            </w:r>
          </w:p>
        </w:tc>
        <w:tc>
          <w:tcPr>
            <w:tcW w:type="dxa" w:w="375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NestJS</w:t>
            </w:r>
          </w:p>
        </w:tc>
      </w:tr>
      <w:tr>
        <w:trPr>
          <w:cantSplit/>
        </w:trPr>
        <w:tc>
          <w:tcPr>
            <w:tcW w:type="dxa" w:w="156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Organisation</w:t>
            </w:r>
          </w:p>
        </w:tc>
        <w:tc>
          <w:tcPr>
            <w:tcW w:type="dxa" w:w="370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Minimaliste et flexible ; l’organisation dépend largement des choix du développeur</w:t>
            </w:r>
          </w:p>
        </w:tc>
        <w:tc>
          <w:tcPr>
            <w:tcW w:type="dxa" w:w="375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Architecture structurée autour de modules, contrôleurs et services</w:t>
            </w:r>
          </w:p>
        </w:tc>
      </w:tr>
      <w:tr>
        <w:trPr>
          <w:cantSplit/>
        </w:trPr>
        <w:tc>
          <w:tcPr>
            <w:tcW w:type="dxa" w:w="156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Langage</w:t>
            </w:r>
          </w:p>
        </w:tc>
        <w:tc>
          <w:tcPr>
            <w:tcW w:type="dxa" w:w="370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Principalement JavaScript, avec possibilité d’utiliser TypeScript</w:t>
            </w:r>
          </w:p>
        </w:tc>
        <w:tc>
          <w:tcPr>
            <w:tcW w:type="dxa" w:w="375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Conçu autour de TypeScript, avec prise en charge de JavaScript</w:t>
            </w:r>
          </w:p>
        </w:tc>
      </w:tr>
      <w:tr>
        <w:trPr>
          <w:cantSplit/>
        </w:trPr>
        <w:tc>
          <w:tcPr>
            <w:tcW w:type="dxa" w:w="156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Injection de dépendances</w:t>
            </w:r>
          </w:p>
        </w:tc>
        <w:tc>
          <w:tcPr>
            <w:tcW w:type="dxa" w:w="370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À organiser au moyen de bibliothèques ou de mécanismes définis par le développeur</w:t>
            </w:r>
          </w:p>
        </w:tc>
        <w:tc>
          <w:tcPr>
            <w:tcW w:type="dxa" w:w="375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Mécanisme intégré facilitant la gestion des dépendances</w:t>
            </w:r>
          </w:p>
        </w:tc>
      </w:tr>
      <w:tr>
        <w:trPr>
          <w:cantSplit/>
        </w:trPr>
        <w:tc>
          <w:tcPr>
            <w:tcW w:type="dxa" w:w="156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Avantages</w:t>
            </w:r>
          </w:p>
        </w:tc>
        <w:tc>
          <w:tcPr>
            <w:tcW w:type="dxa" w:w="370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Léger, flexible, simple à prendre en main pour une API de petite taille</w:t>
            </w:r>
          </w:p>
        </w:tc>
        <w:tc>
          <w:tcPr>
            <w:tcW w:type="dxa" w:w="375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Organisation modulaire, séparation des responsabilités et meilleure structuration des projets complexes</w:t>
            </w:r>
          </w:p>
        </w:tc>
      </w:tr>
      <w:tr>
        <w:trPr>
          <w:cantSplit/>
        </w:trPr>
        <w:tc>
          <w:tcPr>
            <w:tcW w:type="dxa" w:w="156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Inconvénients</w:t>
            </w:r>
          </w:p>
        </w:tc>
        <w:tc>
          <w:tcPr>
            <w:tcW w:type="dxa" w:w="370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Nécessite de définir soi-même une partie des conventions d’architecture et de l’organisation du projet</w:t>
            </w:r>
          </w:p>
        </w:tc>
        <w:tc>
          <w:tcPr>
            <w:tcW w:type="dxa" w:w="375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Structure plus encadrée, nécessitant l’apprentissage de ses concepts et conventions</w:t>
            </w:r>
          </w:p>
        </w:tc>
      </w:tr>
      <w:tr>
        <w:trPr>
          <w:cantSplit/>
        </w:trPr>
        <w:tc>
          <w:tcPr>
            <w:tcW w:type="dxa" w:w="156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Adéquation à EduLoc</w:t>
            </w:r>
          </w:p>
        </w:tc>
        <w:tc>
          <w:tcPr>
            <w:tcW w:type="dxa" w:w="370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Adapté à la création d’une API, avec une organisation à définir selon les besoins</w:t>
            </w:r>
          </w:p>
        </w:tc>
        <w:tc>
          <w:tcPr>
            <w:tcW w:type="dxa" w:w="375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Adapté à une application comportant plusieurs domaines fonctionnels et des règles métier distinctes</w:t>
            </w:r>
          </w:p>
        </w:tc>
      </w:tr>
    </w:tbl>
    <w:p>
      <w:pPr>
        <w:spacing w:after="160"/>
      </w:pPr>
    </w:p>
    <w:p>
      <w:pPr>
        <w:keepNext/>
        <w:spacing w:after="40" w:before="240"/>
      </w:pPr>
      <w:r>
        <w:rPr>
          <w:rFonts w:ascii="Arial" w:cs="Arial" w:eastAsia="Arial" w:hAnsi="Arial"/>
          <w:b/>
          <w:bCs/>
          <w:color w:val="332E86"/>
          <w:sz w:val="21"/>
          <w:szCs w:val="21"/>
        </w:rPr>
        <w:t xml:space="preserve">Tableau 18 : Comparaison des technologies de développement mobile</w:t>
      </w:r>
    </w:p>
    <w:p>
      <w:pPr>
        <w:keepNext/>
        <w:spacing w:after="80"/>
      </w:pPr>
      <w:r>
        <w:rPr>
          <w:rFonts w:ascii="Arial" w:cs="Arial" w:eastAsia="Arial" w:hAnsi="Arial"/>
          <w:color w:val="777788"/>
          <w:sz w:val="17"/>
          <w:szCs w:val="17"/>
        </w:rPr>
        <w:t xml:space="preserve">Section : Langage et technologie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33"/>
        <w:gridCol w:w="2473"/>
        <w:gridCol w:w="2767"/>
        <w:gridCol w:w="2453"/>
      </w:tblGrid>
      <w:tr>
        <w:trPr>
          <w:tblHeader/>
        </w:trPr>
        <w:tc>
          <w:tcPr>
            <w:tcW w:type="dxa" w:w="1333"/>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Critère</w:t>
            </w:r>
          </w:p>
        </w:tc>
        <w:tc>
          <w:tcPr>
            <w:tcW w:type="dxa" w:w="2473"/>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Flutter</w:t>
            </w:r>
          </w:p>
        </w:tc>
        <w:tc>
          <w:tcPr>
            <w:tcW w:type="dxa" w:w="2767"/>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React Native</w:t>
            </w:r>
          </w:p>
        </w:tc>
        <w:tc>
          <w:tcPr>
            <w:tcW w:type="dxa" w:w="2453"/>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Java (Android natif)</w:t>
            </w:r>
          </w:p>
        </w:tc>
      </w:tr>
      <w:tr>
        <w:trPr>
          <w:cantSplit/>
        </w:trPr>
        <w:tc>
          <w:tcPr>
            <w:tcW w:type="dxa" w:w="133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Langage principal</w:t>
            </w:r>
          </w:p>
        </w:tc>
        <w:tc>
          <w:tcPr>
            <w:tcW w:type="dxa" w:w="247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Dart</w:t>
            </w:r>
          </w:p>
        </w:tc>
        <w:tc>
          <w:tcPr>
            <w:tcW w:type="dxa" w:w="276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JavaScript ou TypeScript</w:t>
            </w:r>
          </w:p>
        </w:tc>
        <w:tc>
          <w:tcPr>
            <w:tcW w:type="dxa" w:w="245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Java</w:t>
            </w:r>
          </w:p>
        </w:tc>
      </w:tr>
      <w:tr>
        <w:trPr>
          <w:cantSplit/>
        </w:trPr>
        <w:tc>
          <w:tcPr>
            <w:tcW w:type="dxa" w:w="133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Approche</w:t>
            </w:r>
          </w:p>
        </w:tc>
        <w:tc>
          <w:tcPr>
            <w:tcW w:type="dxa" w:w="247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Framework multiplateforme utilisant son propre système de widgets</w:t>
            </w:r>
          </w:p>
        </w:tc>
        <w:tc>
          <w:tcPr>
            <w:tcW w:type="dxa" w:w="276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Framework multiplateforme permettant de développer des interfaces mobiles avec React</w:t>
            </w:r>
          </w:p>
        </w:tc>
        <w:tc>
          <w:tcPr>
            <w:tcW w:type="dxa" w:w="245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Développement natif destiné principalement à Android</w:t>
            </w:r>
          </w:p>
        </w:tc>
      </w:tr>
      <w:tr>
        <w:trPr>
          <w:cantSplit/>
        </w:trPr>
        <w:tc>
          <w:tcPr>
            <w:tcW w:type="dxa" w:w="133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Avantages</w:t>
            </w:r>
          </w:p>
        </w:tc>
        <w:tc>
          <w:tcPr>
            <w:tcW w:type="dxa" w:w="247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Rechargement à chaud facilitant le développement. 
- Widgets personnalisables. 
- Possibilité de partager le code entre plusieurs plateformes.</w:t>
            </w:r>
          </w:p>
        </w:tc>
        <w:tc>
          <w:tcPr>
            <w:tcW w:type="dxa" w:w="276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Écosystème JavaScript riche. 
- Possibilité de partager une grande partie du code entre Android et iOS. 
- Intégration avec les fonctionnalités natives. 
- Possibilité d’utiliser TypeScript pour mieux structurer le code.</w:t>
            </w:r>
          </w:p>
        </w:tc>
        <w:tc>
          <w:tcPr>
            <w:tcW w:type="dxa" w:w="245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Accès direct aux API Android. 
- Outils et documentation établis. 
- Contrôle précis des fonctionnalités propres à Android.</w:t>
            </w:r>
          </w:p>
        </w:tc>
      </w:tr>
      <w:tr>
        <w:trPr>
          <w:cantSplit/>
        </w:trPr>
        <w:tc>
          <w:tcPr>
            <w:tcW w:type="dxa" w:w="133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Inconvénients</w:t>
            </w:r>
          </w:p>
        </w:tc>
        <w:tc>
          <w:tcPr>
            <w:tcW w:type="dxa" w:w="247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Nécessite l’apprentissage de Dart. 
- Utilise son propre système de widgets, ce qui peut demander une adaptation aux conventions natives.</w:t>
            </w:r>
          </w:p>
        </w:tc>
        <w:tc>
          <w:tcPr>
            <w:tcW w:type="dxa" w:w="276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Certaines fonctionnalités nécessitent des bibliothèques ou des modules natifs. 
- La configuration et la maintenance des dépendances peuvent demander des connaissances spécifiques.</w:t>
            </w:r>
          </w:p>
        </w:tc>
        <w:tc>
          <w:tcPr>
            <w:tcW w:type="dxa" w:w="245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Le développement Android ne permet pas, à lui seul, de partager directement l’interface avec iOS. 
- Le développement multiplateforme nécessite des implémentations distinctes pour les autres systèmes.</w:t>
            </w:r>
          </w:p>
        </w:tc>
      </w:tr>
      <w:tr>
        <w:trPr>
          <w:cantSplit/>
        </w:trPr>
        <w:tc>
          <w:tcPr>
            <w:tcW w:type="dxa" w:w="133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Adéquation à EduLoc</w:t>
            </w:r>
          </w:p>
        </w:tc>
        <w:tc>
          <w:tcPr>
            <w:tcW w:type="dxa" w:w="247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Adapté à une application mobile multiplateforme</w:t>
            </w:r>
          </w:p>
        </w:tc>
        <w:tc>
          <w:tcPr>
            <w:tcW w:type="dxa" w:w="276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Adapté à une application mobile multiplateforme utilisant un écosystème JavaScript/TypeScript</w:t>
            </w:r>
          </w:p>
        </w:tc>
        <w:tc>
          <w:tcPr>
            <w:tcW w:type="dxa" w:w="245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Adapté si le développement cible principalement Android</w:t>
            </w:r>
          </w:p>
        </w:tc>
      </w:tr>
    </w:tbl>
    <w:p>
      <w:pPr>
        <w:spacing w:after="160"/>
      </w:pPr>
    </w:p>
    <w:p>
      <w:pPr>
        <w:keepNext/>
        <w:spacing w:after="40" w:before="240"/>
      </w:pPr>
      <w:r>
        <w:rPr>
          <w:rFonts w:ascii="Arial" w:cs="Arial" w:eastAsia="Arial" w:hAnsi="Arial"/>
          <w:b/>
          <w:bCs/>
          <w:color w:val="332E86"/>
          <w:sz w:val="21"/>
          <w:szCs w:val="21"/>
        </w:rPr>
        <w:t xml:space="preserve">Tableau 19 : Choix de système de version</w:t>
      </w:r>
    </w:p>
    <w:p>
      <w:pPr>
        <w:keepNext/>
        <w:spacing w:after="80"/>
      </w:pPr>
      <w:r>
        <w:rPr>
          <w:rFonts w:ascii="Arial" w:cs="Arial" w:eastAsia="Arial" w:hAnsi="Arial"/>
          <w:color w:val="777788"/>
          <w:sz w:val="17"/>
          <w:szCs w:val="17"/>
        </w:rPr>
        <w:t xml:space="preserve">Section : Choix du logiciel de gestion de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Nom</w:t>
            </w:r>
          </w:p>
        </w:tc>
        <w:tc>
          <w:tcPr>
            <w:tcW w:type="dxa" w:w="3009"/>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SVN</w:t>
            </w:r>
          </w:p>
        </w:tc>
        <w:tc>
          <w:tcPr>
            <w:tcW w:type="dxa" w:w="3009"/>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Git</w:t>
            </w:r>
          </w:p>
        </w:tc>
      </w:tr>
      <w:tr>
        <w:trPr>
          <w:cantSplit/>
        </w:trPr>
        <w:tc>
          <w:tcPr>
            <w:tcW w:type="dxa" w:w="300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Versionning</w:t>
            </w:r>
          </w:p>
        </w:tc>
        <w:tc>
          <w:tcPr>
            <w:tcW w:type="dxa" w:w="300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Centralisé</w:t>
            </w:r>
          </w:p>
        </w:tc>
        <w:tc>
          <w:tcPr>
            <w:tcW w:type="dxa" w:w="300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Décentralisé</w:t>
            </w:r>
          </w:p>
        </w:tc>
      </w:tr>
      <w:tr>
        <w:trPr>
          <w:cantSplit/>
        </w:trPr>
        <w:tc>
          <w:tcPr>
            <w:tcW w:type="dxa" w:w="300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Dépôt</w:t>
            </w:r>
          </w:p>
        </w:tc>
        <w:tc>
          <w:tcPr>
            <w:tcW w:type="dxa" w:w="300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dépôt central dans lequel les copies de travail sont créées</w:t>
            </w:r>
          </w:p>
        </w:tc>
        <w:tc>
          <w:tcPr>
            <w:tcW w:type="dxa" w:w="300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Des copies de dépôt, présentes localement, dans lesquelles il est possible de</w:t>
            </w:r>
          </w:p>
          <w:p>
            <w:pPr>
              <w:spacing w:after="40"/>
            </w:pPr>
            <w:r>
              <w:rPr>
                <w:rFonts w:ascii="Arial" w:cs="Arial" w:eastAsia="Arial" w:hAnsi="Arial"/>
                <w:b/>
                <w:bCs/>
                <w:sz w:val="18"/>
                <w:szCs w:val="18"/>
              </w:rPr>
              <w:t xml:space="preserve">travailler</w:t>
            </w:r>
          </w:p>
        </w:tc>
      </w:tr>
      <w:tr>
        <w:trPr>
          <w:cantSplit/>
        </w:trPr>
        <w:tc>
          <w:tcPr>
            <w:tcW w:type="dxa" w:w="300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Droit d’accès</w:t>
            </w:r>
          </w:p>
        </w:tc>
        <w:tc>
          <w:tcPr>
            <w:tcW w:type="dxa" w:w="300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Basé sur le chemin</w:t>
            </w:r>
          </w:p>
        </w:tc>
        <w:tc>
          <w:tcPr>
            <w:tcW w:type="dxa" w:w="300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Pour le répertoire complet</w:t>
            </w:r>
          </w:p>
        </w:tc>
      </w:tr>
      <w:tr>
        <w:trPr>
          <w:cantSplit/>
        </w:trPr>
        <w:tc>
          <w:tcPr>
            <w:tcW w:type="dxa" w:w="300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Suivi des modifications</w:t>
            </w:r>
          </w:p>
        </w:tc>
        <w:tc>
          <w:tcPr>
            <w:tcW w:type="dxa" w:w="300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Enregistre des données</w:t>
            </w:r>
          </w:p>
        </w:tc>
        <w:tc>
          <w:tcPr>
            <w:tcW w:type="dxa" w:w="300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Enregistre des données</w:t>
            </w:r>
          </w:p>
        </w:tc>
      </w:tr>
      <w:tr>
        <w:trPr>
          <w:cantSplit/>
        </w:trPr>
        <w:tc>
          <w:tcPr>
            <w:tcW w:type="dxa" w:w="300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Journal de modifications des données</w:t>
            </w:r>
          </w:p>
        </w:tc>
        <w:tc>
          <w:tcPr>
            <w:tcW w:type="dxa" w:w="300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Complet seulement dans le dépôt. Les copies de travail ne contiennent que la</w:t>
            </w:r>
          </w:p>
          <w:p>
            <w:pPr>
              <w:spacing w:after="40"/>
            </w:pPr>
            <w:r>
              <w:rPr>
                <w:rFonts w:ascii="Arial" w:cs="Arial" w:eastAsia="Arial" w:hAnsi="Arial"/>
                <w:b w:val="false"/>
                <w:bCs w:val="false"/>
                <w:sz w:val="18"/>
                <w:szCs w:val="18"/>
              </w:rPr>
              <w:t xml:space="preserve">version la plus récente.</w:t>
            </w:r>
          </w:p>
        </w:tc>
        <w:tc>
          <w:tcPr>
            <w:tcW w:type="dxa" w:w="300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Le dépôt et les copies de travail contiennent l’historique complet.</w:t>
            </w:r>
          </w:p>
        </w:tc>
      </w:tr>
      <w:tr>
        <w:trPr>
          <w:cantSplit/>
        </w:trPr>
        <w:tc>
          <w:tcPr>
            <w:tcW w:type="dxa" w:w="300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Connectivité au réseau</w:t>
            </w:r>
          </w:p>
        </w:tc>
        <w:tc>
          <w:tcPr>
            <w:tcW w:type="dxa" w:w="300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Pour tous les accès</w:t>
            </w:r>
          </w:p>
        </w:tc>
        <w:tc>
          <w:tcPr>
            <w:tcW w:type="dxa" w:w="300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Nécessaire seulement pour</w:t>
            </w:r>
          </w:p>
          <w:p>
            <w:pPr>
              <w:spacing w:after="40"/>
            </w:pPr>
            <w:r>
              <w:rPr>
                <w:rFonts w:ascii="Arial" w:cs="Arial" w:eastAsia="Arial" w:hAnsi="Arial"/>
                <w:b/>
                <w:bCs/>
                <w:sz w:val="18"/>
                <w:szCs w:val="18"/>
              </w:rPr>
              <w:t xml:space="preserve">réaliser une synchronisation</w:t>
            </w:r>
          </w:p>
        </w:tc>
      </w:tr>
    </w:tbl>
    <w:p>
      <w:pPr>
        <w:spacing w:after="160"/>
      </w:pPr>
    </w:p>
    <w:p>
      <w:pPr>
        <w:keepNext/>
        <w:spacing w:after="40" w:before="240"/>
      </w:pPr>
      <w:r>
        <w:rPr>
          <w:rFonts w:ascii="Arial" w:cs="Arial" w:eastAsia="Arial" w:hAnsi="Arial"/>
          <w:b/>
          <w:bCs/>
          <w:color w:val="332E86"/>
          <w:sz w:val="21"/>
          <w:szCs w:val="21"/>
        </w:rPr>
        <w:t xml:space="preserve">Tableau 20 : Les rôles des équipes SCRUM</w:t>
      </w:r>
    </w:p>
    <w:p>
      <w:pPr>
        <w:keepNext/>
        <w:spacing w:after="80"/>
      </w:pPr>
      <w:r>
        <w:rPr>
          <w:rFonts w:ascii="Arial" w:cs="Arial" w:eastAsia="Arial" w:hAnsi="Arial"/>
          <w:color w:val="777788"/>
          <w:sz w:val="17"/>
          <w:szCs w:val="17"/>
        </w:rPr>
        <w:t xml:space="preserve">Section : Désignation des rôles de l'équipe SCRUM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2482"/>
        <w:gridCol w:w="4090"/>
        <w:gridCol w:w="1100"/>
      </w:tblGrid>
      <w:tr>
        <w:trPr>
          <w:tblHeader/>
        </w:trPr>
        <w:tc>
          <w:tcPr>
            <w:tcW w:type="dxa" w:w="1354"/>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Rôle</w:t>
            </w:r>
          </w:p>
        </w:tc>
        <w:tc>
          <w:tcPr>
            <w:tcW w:type="dxa" w:w="2482"/>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Description</w:t>
            </w:r>
          </w:p>
        </w:tc>
        <w:tc>
          <w:tcPr>
            <w:tcW w:type="dxa" w:w="409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Responsabilités dans le projet EduLoc</w:t>
            </w:r>
          </w:p>
        </w:tc>
        <w:tc>
          <w:tcPr>
            <w:tcW w:type="dxa" w:w="11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Nombre</w:t>
            </w:r>
          </w:p>
        </w:tc>
      </w:tr>
      <w:tr>
        <w:trPr>
          <w:cantSplit/>
        </w:trPr>
        <w:tc>
          <w:tcPr>
            <w:tcW w:type="dxa" w:w="135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Product Owner</w:t>
            </w:r>
          </w:p>
        </w:tc>
        <w:tc>
          <w:tcPr>
            <w:tcW w:type="dxa" w:w="248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Responsable de la maximisation de la valeur du produit. Établit et classe les besoins dans le Product Backlog, puis le met à jour selon les incréments testés.</w:t>
            </w:r>
          </w:p>
        </w:tc>
        <w:tc>
          <w:tcPr>
            <w:tcW w:type="dxa" w:w="409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Porte la vision d’EduLoc (rapprocher demandeurs et tuteurs) ; arbitre les règles produit (frais de service, durée de blocage d’un créneau, conditions de validation des tuteurs et des salles) ; ordonne le backlog autour du parcours principal « recherche, réservation, séance » ; accepte ou refuse chaque incrément.</w:t>
            </w:r>
          </w:p>
        </w:tc>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w:t>
            </w:r>
          </w:p>
        </w:tc>
      </w:tr>
      <w:tr>
        <w:trPr>
          <w:cantSplit/>
        </w:trPr>
        <w:tc>
          <w:tcPr>
            <w:tcW w:type="dxa" w:w="135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Scrum Master</w:t>
            </w:r>
          </w:p>
        </w:tc>
        <w:tc>
          <w:tcPr>
            <w:tcW w:type="dxa" w:w="248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Expert de la méthodologie Scrum. Guide l’équipe et veille au respect du cadre (planification, revue, rétrospective).</w:t>
            </w:r>
          </w:p>
        </w:tc>
        <w:tc>
          <w:tcPr>
            <w:tcW w:type="dxa" w:w="409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Anime la planification et la revue de chaque sprint ; suit l’avancement dans l’outil plane.so ; lève les obstacles techniques (environnement Docker, services d’intelligence artificielle, migrations de la base de données).</w:t>
            </w:r>
          </w:p>
        </w:tc>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w:t>
            </w:r>
          </w:p>
        </w:tc>
      </w:tr>
      <w:tr>
        <w:trPr>
          <w:cantSplit/>
        </w:trPr>
        <w:tc>
          <w:tcPr>
            <w:tcW w:type="dxa" w:w="135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Développeur</w:t>
            </w:r>
          </w:p>
        </w:tc>
        <w:tc>
          <w:tcPr>
            <w:tcW w:type="dxa" w:w="248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Assure l’élaboration étape par étape du produit, de façon autonome et guidée par le Scrum Master.</w:t>
            </w:r>
          </w:p>
        </w:tc>
        <w:tc>
          <w:tcPr>
            <w:tcW w:type="dxa" w:w="409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Conçoit et développe l’API NestJS, la base PostgreSQL (PostGIS, pgvector) et l’application mobile Expo / React Native ; rédige les tests unitaires et d’intégration ; documente les choix de conception.</w:t>
            </w:r>
          </w:p>
        </w:tc>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w:t>
            </w:r>
          </w:p>
        </w:tc>
      </w:tr>
    </w:tbl>
    <w:p>
      <w:pPr>
        <w:spacing w:after="160"/>
      </w:pPr>
    </w:p>
    <w:p>
      <w:pPr>
        <w:keepNext/>
        <w:spacing w:after="40" w:before="240"/>
      </w:pPr>
      <w:r>
        <w:rPr>
          <w:rFonts w:ascii="Arial" w:cs="Arial" w:eastAsia="Arial" w:hAnsi="Arial"/>
          <w:b/>
          <w:bCs/>
          <w:color w:val="332E86"/>
          <w:sz w:val="21"/>
          <w:szCs w:val="21"/>
        </w:rPr>
        <w:t xml:space="preserve">Tableau 21 : Détails sur les acteurs du système</w:t>
      </w:r>
    </w:p>
    <w:p>
      <w:pPr>
        <w:keepNext/>
        <w:spacing w:after="80"/>
      </w:pPr>
      <w:r>
        <w:rPr>
          <w:rFonts w:ascii="Arial" w:cs="Arial" w:eastAsia="Arial" w:hAnsi="Arial"/>
          <w:color w:val="777788"/>
          <w:sz w:val="17"/>
          <w:szCs w:val="17"/>
        </w:rPr>
        <w:t xml:space="preserve">Section : Identification des acteurs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1354"/>
        <w:gridCol w:w="3498"/>
        <w:gridCol w:w="1805"/>
        <w:gridCol w:w="1015"/>
      </w:tblGrid>
      <w:tr>
        <w:trPr>
          <w:tblHeader/>
        </w:trPr>
        <w:tc>
          <w:tcPr>
            <w:tcW w:type="dxa" w:w="1354"/>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Acteur</w:t>
            </w:r>
          </w:p>
        </w:tc>
        <w:tc>
          <w:tcPr>
            <w:tcW w:type="dxa" w:w="1354"/>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Rôle</w:t>
            </w:r>
          </w:p>
        </w:tc>
        <w:tc>
          <w:tcPr>
            <w:tcW w:type="dxa" w:w="3498"/>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Description et interactions avec EduLoc</w:t>
            </w:r>
          </w:p>
        </w:tc>
        <w:tc>
          <w:tcPr>
            <w:tcW w:type="dxa" w:w="1805"/>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Critère de satisfaction</w:t>
            </w:r>
          </w:p>
        </w:tc>
        <w:tc>
          <w:tcPr>
            <w:tcW w:type="dxa" w:w="1015"/>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Fréquence d’utilisation</w:t>
            </w:r>
          </w:p>
        </w:tc>
      </w:tr>
      <w:tr>
        <w:trPr>
          <w:cantSplit/>
        </w:trPr>
        <w:tc>
          <w:tcPr>
            <w:tcW w:type="dxa" w:w="135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Demandeur</w:t>
            </w:r>
          </w:p>
        </w:tc>
        <w:tc>
          <w:tcPr>
            <w:tcW w:type="dxa" w:w="135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Recherche et organisation de l’accompagnement</w:t>
            </w:r>
          </w:p>
        </w:tc>
        <w:tc>
          <w:tcPr>
            <w:tcW w:type="dxa" w:w="349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Dispose d’un compte (e-mail vérifié). Gère un ou plusieurs bénéficiaires, recherche un tuteur par niveau, filière et matière (ou par description libre de son besoin), consulte les profils, offres, avis et créneaux libres, obtient un devis, soumet et suit ses réservations, échange avec le tuteur par message vocal ou appel et évalue la séance.</w:t>
            </w:r>
          </w:p>
        </w:tc>
        <w:tc>
          <w:tcPr>
            <w:tcW w:type="dxa" w:w="180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Trouver rapidement un tuteur adapté au niveau, aux disponibilités, au lieu et au budget.</w:t>
            </w:r>
          </w:p>
        </w:tc>
        <w:tc>
          <w:tcPr>
            <w:tcW w:type="dxa" w:w="10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Occasionnelle à régulière</w:t>
            </w:r>
          </w:p>
        </w:tc>
      </w:tr>
      <w:tr>
        <w:trPr>
          <w:cantSplit/>
        </w:trPr>
        <w:tc>
          <w:tcPr>
            <w:tcW w:type="dxa" w:w="135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Bénéficiaire</w:t>
            </w:r>
          </w:p>
        </w:tc>
        <w:tc>
          <w:tcPr>
            <w:tcW w:type="dxa" w:w="135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Personne qui reçoit l’accompagnement</w:t>
            </w:r>
          </w:p>
        </w:tc>
        <w:tc>
          <w:tcPr>
            <w:tcW w:type="dxa" w:w="349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N’a pas de compte propre : son profil (niveau, objectif, difficulté, format et rythme souhaités, zone, budget) est géré par le demandeur, qui peut être le bénéficiaire lui-même (relation « soi-même ») ou un proche (enfant, conjoint, frère ou sœur, etc.).</w:t>
            </w:r>
          </w:p>
        </w:tc>
        <w:tc>
          <w:tcPr>
            <w:tcW w:type="dxa" w:w="180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Recevoir un accompagnement correspondant à son niveau et à ses objectifs.</w:t>
            </w:r>
          </w:p>
        </w:tc>
        <w:tc>
          <w:tcPr>
            <w:tcW w:type="dxa" w:w="101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Régulière pendant l’accompagnement</w:t>
            </w:r>
          </w:p>
        </w:tc>
      </w:tr>
      <w:tr>
        <w:trPr>
          <w:cantSplit/>
        </w:trPr>
        <w:tc>
          <w:tcPr>
            <w:tcW w:type="dxa" w:w="135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Tuteur</w:t>
            </w:r>
          </w:p>
        </w:tc>
        <w:tc>
          <w:tcPr>
            <w:tcW w:type="dxa" w:w="135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Fournisseur de services éducatifs</w:t>
            </w:r>
          </w:p>
        </w:tc>
        <w:tc>
          <w:tcPr>
            <w:tcW w:type="dxa" w:w="349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Dépose une candidature (identité, diplômes, expériences, compétences, présentation vidéo, justificatifs) éventuellement pré-remplie par l’import de son CV. Une fois approuvé, publie ses offres (matière, niveau, filière, tarif, durées), gère ses disponibilités et ses lieux, accepte des salles partenaires, accepte ou refuse les demandes, démarre et termine les séances à l’aide d’un code.</w:t>
            </w:r>
          </w:p>
        </w:tc>
        <w:tc>
          <w:tcPr>
            <w:tcW w:type="dxa" w:w="180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Recevoir des demandes cohérentes avec ses compétences et organiser ses séances selon ses disponibilités.</w:t>
            </w:r>
          </w:p>
        </w:tc>
        <w:tc>
          <w:tcPr>
            <w:tcW w:type="dxa" w:w="10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Régulière</w:t>
            </w:r>
          </w:p>
        </w:tc>
      </w:tr>
      <w:tr>
        <w:trPr>
          <w:cantSplit/>
        </w:trPr>
        <w:tc>
          <w:tcPr>
            <w:tcW w:type="dxa" w:w="135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Partenaire de lieu d’étude (Gestionnaire)</w:t>
            </w:r>
          </w:p>
        </w:tc>
        <w:tc>
          <w:tcPr>
            <w:tcW w:type="dxa" w:w="135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Fournisseur d’espaces d’accueil</w:t>
            </w:r>
          </w:p>
        </w:tc>
        <w:tc>
          <w:tcPr>
            <w:tcW w:type="dxa" w:w="349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Gère une structure (centre de formation, école, bibliothèque, espace de coworking, association, etc.) : dépose ses justificatifs, déclare ses salles (adresse, capacité, équipements, horaires, fermetures, photos, tarif horaire), choisit une offre commerciale, consulte les réservations de ses salles et répond aux avis.</w:t>
            </w:r>
          </w:p>
        </w:tc>
        <w:tc>
          <w:tcPr>
            <w:tcW w:type="dxa" w:w="180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Faire valider sa structure et ses salles, puis les voir réservées.</w:t>
            </w:r>
          </w:p>
        </w:tc>
        <w:tc>
          <w:tcPr>
            <w:tcW w:type="dxa" w:w="101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Variable selon les réservations</w:t>
            </w:r>
          </w:p>
        </w:tc>
      </w:tr>
      <w:tr>
        <w:trPr>
          <w:cantSplit/>
        </w:trPr>
        <w:tc>
          <w:tcPr>
            <w:tcW w:type="dxa" w:w="135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Administrateur</w:t>
            </w:r>
          </w:p>
        </w:tc>
        <w:tc>
          <w:tcPr>
            <w:tcW w:type="dxa" w:w="135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Gestionnaire de la plateforme</w:t>
            </w:r>
          </w:p>
        </w:tc>
        <w:tc>
          <w:tcPr>
            <w:tcW w:type="dxa" w:w="349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Valide les candidatures des tuteurs, leur niveau académique et les équivalences de diplôme ; valide ou suspend les structures et les salles ; modère les avis ; suspend un utilisateur ou un tuteur, désactive une offre et traite les conflits de réservation ; déclenche la réindexation de la recherche sémantique.</w:t>
            </w:r>
          </w:p>
        </w:tc>
        <w:tc>
          <w:tcPr>
            <w:tcW w:type="dxa" w:w="180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Contrôler les accès et la qualité des informations publiées.</w:t>
            </w:r>
          </w:p>
        </w:tc>
        <w:tc>
          <w:tcPr>
            <w:tcW w:type="dxa" w:w="10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Régulière</w:t>
            </w:r>
          </w:p>
        </w:tc>
      </w:tr>
      <w:tr>
        <w:trPr>
          <w:cantSplit/>
        </w:trPr>
        <w:tc>
          <w:tcPr>
            <w:tcW w:type="dxa" w:w="135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Services externes (acteurs secondaires)</w:t>
            </w:r>
          </w:p>
        </w:tc>
        <w:tc>
          <w:tcPr>
            <w:tcW w:type="dxa" w:w="135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Fournisseurs de services techniques</w:t>
            </w:r>
          </w:p>
        </w:tc>
        <w:tc>
          <w:tcPr>
            <w:tcW w:type="dxa" w:w="349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Ollama et PaddleOCR (embeddings, extraction de CV, lecture de documents), LiveKit et Centrifugo (appels et temps réel), Expo Push / FCM et Resend (notifications et e-mails), service de stockage de fichiers, service de géocodage.</w:t>
            </w:r>
          </w:p>
        </w:tc>
        <w:tc>
          <w:tcPr>
            <w:tcW w:type="dxa" w:w="180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Répondre aux requêtes du serveur dans les délais impartis.</w:t>
            </w:r>
          </w:p>
        </w:tc>
        <w:tc>
          <w:tcPr>
            <w:tcW w:type="dxa" w:w="101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À la demande du système</w:t>
            </w:r>
          </w:p>
        </w:tc>
      </w:tr>
    </w:tbl>
    <w:p>
      <w:pPr>
        <w:spacing w:after="160"/>
      </w:pPr>
    </w:p>
    <w:p>
      <w:pPr>
        <w:keepNext/>
        <w:spacing w:after="40" w:before="240"/>
      </w:pPr>
      <w:r>
        <w:rPr>
          <w:rFonts w:ascii="Arial" w:cs="Arial" w:eastAsia="Arial" w:hAnsi="Arial"/>
          <w:b/>
          <w:bCs/>
          <w:color w:val="332E86"/>
          <w:sz w:val="21"/>
          <w:szCs w:val="21"/>
        </w:rPr>
        <w:t xml:space="preserve">Tableau 22 : Détails sur les thèmes fonctionnels</w:t>
      </w:r>
    </w:p>
    <w:p>
      <w:pPr>
        <w:keepNext/>
        <w:spacing w:after="80"/>
      </w:pPr>
      <w:r>
        <w:rPr>
          <w:rFonts w:ascii="Arial" w:cs="Arial" w:eastAsia="Arial" w:hAnsi="Arial"/>
          <w:color w:val="777788"/>
          <w:sz w:val="17"/>
          <w:szCs w:val="17"/>
        </w:rPr>
        <w:t xml:space="preserve">Section : Thèmes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505"/>
        <w:gridCol w:w="3836"/>
        <w:gridCol w:w="1783"/>
        <w:gridCol w:w="900"/>
      </w:tblGrid>
      <w:tr>
        <w:trPr>
          <w:tblHeader/>
        </w:trPr>
        <w:tc>
          <w:tcPr>
            <w:tcW w:type="dxa" w:w="1002"/>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Priorité</w:t>
            </w:r>
          </w:p>
        </w:tc>
        <w:tc>
          <w:tcPr>
            <w:tcW w:type="dxa" w:w="1505"/>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Thème</w:t>
            </w:r>
          </w:p>
        </w:tc>
        <w:tc>
          <w:tcPr>
            <w:tcW w:type="dxa" w:w="383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Description</w:t>
            </w:r>
          </w:p>
        </w:tc>
        <w:tc>
          <w:tcPr>
            <w:tcW w:type="dxa" w:w="1783"/>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Acteurs concernés</w:t>
            </w:r>
          </w:p>
        </w:tc>
        <w:tc>
          <w:tcPr>
            <w:tcW w:type="dxa" w:w="9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Valeur métier</w:t>
            </w:r>
          </w:p>
        </w:tc>
      </w:tr>
      <w:tr>
        <w:trPr>
          <w:cantSplit/>
        </w:trPr>
        <w:tc>
          <w:tcPr>
            <w:tcW w:type="dxa" w:w="10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1</w:t>
            </w:r>
          </w:p>
        </w:tc>
        <w:tc>
          <w:tcPr>
            <w:tcW w:type="dxa" w:w="150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Recherche et mise en relation</w:t>
            </w:r>
          </w:p>
        </w:tc>
        <w:tc>
          <w:tcPr>
            <w:tcW w:type="dxa" w:w="383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Rechercher des tuteurs par niveau, filière (série ou mention) et matière, avec une distance calculée à partir de la position ; pour les niveaux universitaires, décrire son besoin en texte libre et obtenir un classement par matching sémantique hybride, accompagné des raisons de la correspondance.</w:t>
            </w:r>
          </w:p>
        </w:tc>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Demandeur, Bénéficiaire, Tuteur</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Très élevée</w:t>
            </w:r>
          </w:p>
        </w:tc>
      </w:tr>
      <w:tr>
        <w:trPr>
          <w:cantSplit/>
        </w:trPr>
        <w:tc>
          <w:tcPr>
            <w:tcW w:type="dxa" w:w="10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2</w:t>
            </w:r>
          </w:p>
        </w:tc>
        <w:tc>
          <w:tcPr>
            <w:tcW w:type="dxa" w:w="150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Candidature, profil et offres du tuteur</w:t>
            </w:r>
          </w:p>
        </w:tc>
        <w:tc>
          <w:tcPr>
            <w:tcW w:type="dxa" w:w="383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Déposer une candidature avec justificatifs, importer son CV, faire valider son niveau académique, puis publier des offres (matière, niveau, filière, tarif, durées possibles).</w:t>
            </w:r>
          </w:p>
        </w:tc>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Tuteur, Administrateur</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Très élevée</w:t>
            </w:r>
          </w:p>
        </w:tc>
      </w:tr>
      <w:tr>
        <w:trPr>
          <w:cantSplit/>
        </w:trPr>
        <w:tc>
          <w:tcPr>
            <w:tcW w:type="dxa" w:w="10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3</w:t>
            </w:r>
          </w:p>
        </w:tc>
        <w:tc>
          <w:tcPr>
            <w:tcW w:type="dxa" w:w="150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Disponibilités et lieux</w:t>
            </w:r>
          </w:p>
        </w:tc>
        <w:tc>
          <w:tcPr>
            <w:tcW w:type="dxa" w:w="383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Définir des plages hebdomadaires récurrentes, des périodes bloquées et des lieux géolocalisés (domicile, lieu public, en ligne) ; calculer les créneaux libres en tenant compte des marges entre séances.</w:t>
            </w:r>
          </w:p>
        </w:tc>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Tuteur, Demandeur</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Très élevée</w:t>
            </w:r>
          </w:p>
        </w:tc>
      </w:tr>
      <w:tr>
        <w:trPr>
          <w:cantSplit/>
        </w:trPr>
        <w:tc>
          <w:tcPr>
            <w:tcW w:type="dxa" w:w="10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4</w:t>
            </w:r>
          </w:p>
        </w:tc>
        <w:tc>
          <w:tcPr>
            <w:tcW w:type="dxa" w:w="150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Réservation et suivi de séance</w:t>
            </w:r>
          </w:p>
        </w:tc>
        <w:tc>
          <w:tcPr>
            <w:tcW w:type="dxa" w:w="383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Obtenir un devis détaillé (blocage du créneau pendant 15 minutes), soumettre une demande, accepter, refuser ou annuler, détecter les conflits, démarrer la séance avec un code à usage unique et la terminer.</w:t>
            </w:r>
          </w:p>
        </w:tc>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Demandeur, Tuteur</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Très élevée</w:t>
            </w:r>
          </w:p>
        </w:tc>
      </w:tr>
      <w:tr>
        <w:trPr>
          <w:cantSplit/>
        </w:trPr>
        <w:tc>
          <w:tcPr>
            <w:tcW w:type="dxa" w:w="10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5</w:t>
            </w:r>
          </w:p>
        </w:tc>
        <w:tc>
          <w:tcPr>
            <w:tcW w:type="dxa" w:w="150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Comptes et bénéficiaires</w:t>
            </w:r>
          </w:p>
        </w:tc>
        <w:tc>
          <w:tcPr>
            <w:tcW w:type="dxa" w:w="383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Créer un compte vérifié par e-mail, s’authentifier, gérer plusieurs bénéficiaires et leurs préférences (niveau, objectif, rythme, zone, budget).</w:t>
            </w:r>
          </w:p>
        </w:tc>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Demandeur, Bénéficiaire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Élevée</w:t>
            </w:r>
          </w:p>
        </w:tc>
      </w:tr>
      <w:tr>
        <w:trPr>
          <w:cantSplit/>
        </w:trPr>
        <w:tc>
          <w:tcPr>
            <w:tcW w:type="dxa" w:w="10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6</w:t>
            </w:r>
          </w:p>
        </w:tc>
        <w:tc>
          <w:tcPr>
            <w:tcW w:type="dxa" w:w="150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Lieux partenaires</w:t>
            </w:r>
          </w:p>
        </w:tc>
        <w:tc>
          <w:tcPr>
            <w:tcW w:type="dxa" w:w="383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Déclarer une structure et ses salles, les faire valider, choisir une offre commerciale ; permettre au tuteur d’accepter des salles et au demandeur de réserver une séance dans une salle avec contrôle de sa disponibilité.</w:t>
            </w:r>
          </w:p>
        </w:tc>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Partenaire, Tuteur, Demandeur, Administrateur</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Élevée</w:t>
            </w:r>
          </w:p>
        </w:tc>
      </w:tr>
      <w:tr>
        <w:trPr>
          <w:cantSplit/>
        </w:trPr>
        <w:tc>
          <w:tcPr>
            <w:tcW w:type="dxa" w:w="10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7</w:t>
            </w:r>
          </w:p>
        </w:tc>
        <w:tc>
          <w:tcPr>
            <w:tcW w:type="dxa" w:w="150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Administration et validation</w:t>
            </w:r>
          </w:p>
        </w:tc>
        <w:tc>
          <w:tcPr>
            <w:tcW w:type="dxa" w:w="383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Valider ou refuser les candidatures, les structures et les salles ; suspendre un utilisateur ou un tuteur ; désactiver une offre ; modérer les avis ; traiter les conflits ; réindexer la recherche.</w:t>
            </w:r>
          </w:p>
        </w:tc>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Administrateur</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Élevée</w:t>
            </w:r>
          </w:p>
        </w:tc>
      </w:tr>
      <w:tr>
        <w:trPr>
          <w:cantSplit/>
        </w:trPr>
        <w:tc>
          <w:tcPr>
            <w:tcW w:type="dxa" w:w="10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8</w:t>
            </w:r>
          </w:p>
        </w:tc>
        <w:tc>
          <w:tcPr>
            <w:tcW w:type="dxa" w:w="150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Communication et notifications</w:t>
            </w:r>
          </w:p>
        </w:tc>
        <w:tc>
          <w:tcPr>
            <w:tcW w:type="dxa" w:w="383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Échanger des messages vocaux et des documents, passer des appels audio ou vidéo, recevoir des notifications push et des e-mails, être rappelé avant une séance.</w:t>
            </w:r>
          </w:p>
        </w:tc>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Demandeur, Tuteur</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Moyenne</w:t>
            </w:r>
          </w:p>
        </w:tc>
      </w:tr>
      <w:tr>
        <w:trPr>
          <w:cantSplit/>
        </w:trPr>
        <w:tc>
          <w:tcPr>
            <w:tcW w:type="dxa" w:w="10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9</w:t>
            </w:r>
          </w:p>
        </w:tc>
        <w:tc>
          <w:tcPr>
            <w:tcW w:type="dxa" w:w="150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Avis et qualité</w:t>
            </w:r>
          </w:p>
        </w:tc>
        <w:tc>
          <w:tcPr>
            <w:tcW w:type="dxa" w:w="383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Évaluer un tuteur après une séance terminée ; évaluer une salle selon cinq critères ; permettre une réponse du tuteur ou du partenaire et le masquage motivé d’un avis.</w:t>
            </w:r>
          </w:p>
        </w:tc>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Demandeur, Tuteur, Partenaire, Administrateur</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Moyenne</w:t>
            </w:r>
          </w:p>
        </w:tc>
      </w:tr>
    </w:tbl>
    <w:p>
      <w:pPr>
        <w:spacing w:after="160"/>
      </w:pPr>
    </w:p>
    <w:p>
      <w:pPr>
        <w:keepNext/>
        <w:spacing w:after="40" w:before="240"/>
      </w:pPr>
      <w:r>
        <w:rPr>
          <w:rFonts w:ascii="Arial" w:cs="Arial" w:eastAsia="Arial" w:hAnsi="Arial"/>
          <w:b/>
          <w:bCs/>
          <w:color w:val="332E86"/>
          <w:sz w:val="21"/>
          <w:szCs w:val="21"/>
        </w:rPr>
        <w:t xml:space="preserve">Tableau 23 : User Stories principales du projet</w:t>
      </w:r>
    </w:p>
    <w:p>
      <w:pPr>
        <w:keepNext/>
        <w:spacing w:after="80"/>
      </w:pPr>
      <w:r>
        <w:rPr>
          <w:rFonts w:ascii="Arial" w:cs="Arial" w:eastAsia="Arial" w:hAnsi="Arial"/>
          <w:color w:val="777788"/>
          <w:sz w:val="17"/>
          <w:szCs w:val="17"/>
        </w:rPr>
        <w:t xml:space="preserve">Section :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241"/>
        <w:gridCol w:w="3526"/>
        <w:gridCol w:w="3159"/>
      </w:tblGrid>
      <w:tr>
        <w:trPr>
          <w:tblHeader/>
        </w:trPr>
        <w:tc>
          <w:tcPr>
            <w:tcW w:type="dxa" w:w="11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Id</w:t>
            </w:r>
          </w:p>
        </w:tc>
        <w:tc>
          <w:tcPr>
            <w:tcW w:type="dxa" w:w="124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Acteur</w:t>
            </w:r>
          </w:p>
        </w:tc>
        <w:tc>
          <w:tcPr>
            <w:tcW w:type="dxa" w:w="35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User Story</w:t>
            </w:r>
          </w:p>
        </w:tc>
        <w:tc>
          <w:tcPr>
            <w:tcW w:type="dxa" w:w="3159"/>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Critère d’acceptation</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US01</w:t>
            </w:r>
          </w:p>
        </w:tc>
        <w:tc>
          <w:tcPr>
            <w:tcW w:type="dxa" w:w="12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Demandeur</w:t>
            </w:r>
          </w:p>
        </w:tc>
        <w:tc>
          <w:tcPr>
            <w:tcW w:type="dxa" w:w="35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demandeur, je veux créer un compte, confirmer mon adresse e-mail et me connecter afin d’accéder aux services de la plateforme.</w:t>
            </w:r>
          </w:p>
        </w:tc>
        <w:tc>
          <w:tcPr>
            <w:tcW w:type="dxa" w:w="315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compte n’est utilisable qu’après vérification de l’e-mail ; la session se renouvelle sans nouvelle saisie du mot de passe.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US02</w:t>
            </w:r>
          </w:p>
        </w:tc>
        <w:tc>
          <w:tcPr>
            <w:tcW w:type="dxa" w:w="12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Demandeur</w:t>
            </w:r>
          </w:p>
        </w:tc>
        <w:tc>
          <w:tcPr>
            <w:tcW w:type="dxa" w:w="35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demandeur, je veux enregistrer un ou plusieurs bénéficiaires (moi-même ou un proche) avec leur niveau, leur objectif et leurs préférences afin de réserver pour la bonne personne.</w:t>
            </w:r>
          </w:p>
        </w:tc>
        <w:tc>
          <w:tcPr>
            <w:tcW w:type="dxa" w:w="315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lien avec le bénéficiaire est précisé ; le niveau est choisi dans le catalogue ; un bénéficiaire peut être archivé.</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US03</w:t>
            </w:r>
          </w:p>
        </w:tc>
        <w:tc>
          <w:tcPr>
            <w:tcW w:type="dxa" w:w="12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Demandeur</w:t>
            </w:r>
          </w:p>
        </w:tc>
        <w:tc>
          <w:tcPr>
            <w:tcW w:type="dxa" w:w="35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demandeur, je veux rechercher des tuteurs en choisissant un niveau, une filière puis une matière afin de trouver une offre qui correspond à mon besoin.</w:t>
            </w:r>
          </w:p>
        </w:tc>
        <w:tc>
          <w:tcPr>
            <w:tcW w:type="dxa" w:w="315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Les résultats respectent le niveau et la série ou mention ; la distance est affichée lorsque la position est fournie.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US04</w:t>
            </w:r>
          </w:p>
        </w:tc>
        <w:tc>
          <w:tcPr>
            <w:tcW w:type="dxa" w:w="12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Demandeur</w:t>
            </w:r>
          </w:p>
        </w:tc>
        <w:tc>
          <w:tcPr>
            <w:tcW w:type="dxa" w:w="35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demandeur, je veux décrire mon besoin en texte libre (niveau universitaire) afin d’obtenir les tuteurs les plus pertinents.</w:t>
            </w:r>
          </w:p>
        </w:tc>
        <w:tc>
          <w:tcPr>
            <w:tcW w:type="dxa" w:w="315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Seuls les tuteurs d’un niveau validé supérieur sont proposés ; chaque résultat indique les raisons de la correspondance.</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US05</w:t>
            </w:r>
          </w:p>
        </w:tc>
        <w:tc>
          <w:tcPr>
            <w:tcW w:type="dxa" w:w="12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Demandeur</w:t>
            </w:r>
          </w:p>
        </w:tc>
        <w:tc>
          <w:tcPr>
            <w:tcW w:type="dxa" w:w="35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demandeur, je veux consulter le profil, les offres, les avis et les prochains créneaux d’un tuteur afin d’évaluer son adéquation.</w:t>
            </w:r>
          </w:p>
        </w:tc>
        <w:tc>
          <w:tcPr>
            <w:tcW w:type="dxa" w:w="315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Les créneaux libres sont affichés ; l’adresse d’un domicile n’est jamais précise.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US06</w:t>
            </w:r>
          </w:p>
        </w:tc>
        <w:tc>
          <w:tcPr>
            <w:tcW w:type="dxa" w:w="12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Demandeur</w:t>
            </w:r>
          </w:p>
        </w:tc>
        <w:tc>
          <w:tcPr>
            <w:tcW w:type="dxa" w:w="35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demandeur, je veux consulter les salles d’étude proches afin de choisir un lieu pour une séance en présentiel.</w:t>
            </w:r>
          </w:p>
        </w:tc>
        <w:tc>
          <w:tcPr>
            <w:tcW w:type="dxa" w:w="315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Seules les salles approuvées et publiées sont visibles, dans le rayon demandé.</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US07</w:t>
            </w:r>
          </w:p>
        </w:tc>
        <w:tc>
          <w:tcPr>
            <w:tcW w:type="dxa" w:w="12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Demandeur</w:t>
            </w:r>
          </w:p>
        </w:tc>
        <w:tc>
          <w:tcPr>
            <w:tcW w:type="dxa" w:w="35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demandeur, je veux obtenir un devis puis réserver un créneau (mode, durée, lieu ou salle) afin d’organiser une séance à un moment précis.</w:t>
            </w:r>
          </w:p>
        </w:tc>
        <w:tc>
          <w:tcPr>
            <w:tcW w:type="dxa" w:w="315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prix est détaillé ; le créneau est bloqué 15 minutes ; la demande respecte le préavis minimal de 24 heures.</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US08</w:t>
            </w:r>
          </w:p>
        </w:tc>
        <w:tc>
          <w:tcPr>
            <w:tcW w:type="dxa" w:w="12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Demandeur</w:t>
            </w:r>
          </w:p>
        </w:tc>
        <w:tc>
          <w:tcPr>
            <w:tcW w:type="dxa" w:w="35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demandeur, je veux suivre et annuler mes réservations afin de garder le contrôle de mon organisation.</w:t>
            </w:r>
          </w:p>
        </w:tc>
        <w:tc>
          <w:tcPr>
            <w:tcW w:type="dxa" w:w="315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Annulation impossible à moins de 2 heures ; justification obligatoire à moins de 24 heures.</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US09</w:t>
            </w:r>
          </w:p>
        </w:tc>
        <w:tc>
          <w:tcPr>
            <w:tcW w:type="dxa" w:w="12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Tuteur</w:t>
            </w:r>
          </w:p>
        </w:tc>
        <w:tc>
          <w:tcPr>
            <w:tcW w:type="dxa" w:w="35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tuteur, je veux déposer ma candidature avec mes justificatifs et suivre la décision afin d’être admis sur la plateforme.</w:t>
            </w:r>
          </w:p>
        </w:tc>
        <w:tc>
          <w:tcPr>
            <w:tcW w:type="dxa" w:w="315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statut évolue de brouillon à en attente puis approuvé ou refusé ; un motif est fourni en cas de refus.</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US10</w:t>
            </w:r>
          </w:p>
        </w:tc>
        <w:tc>
          <w:tcPr>
            <w:tcW w:type="dxa" w:w="12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Tuteur</w:t>
            </w:r>
          </w:p>
        </w:tc>
        <w:tc>
          <w:tcPr>
            <w:tcW w:type="dxa" w:w="35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tuteur, je veux importer mon CV afin de pré-remplir mon dossier.</w:t>
            </w:r>
          </w:p>
        </w:tc>
        <w:tc>
          <w:tcPr>
            <w:tcW w:type="dxa" w:w="315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Les informations proposées sont relues et confirmées par le tuteur avant enregistrement.</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US11</w:t>
            </w:r>
          </w:p>
        </w:tc>
        <w:tc>
          <w:tcPr>
            <w:tcW w:type="dxa" w:w="12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Tuteur</w:t>
            </w:r>
          </w:p>
        </w:tc>
        <w:tc>
          <w:tcPr>
            <w:tcW w:type="dxa" w:w="35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tuteur, je veux publier et gérer mes offres (matière, niveau, filière, tarif, durées) afin de présenter mes services.</w:t>
            </w:r>
          </w:p>
        </w:tc>
        <w:tc>
          <w:tcPr>
            <w:tcW w:type="dxa" w:w="315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La série est obligatoire pour les classes de Première et de Terminale ; une offre peut être désactivée.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US12</w:t>
            </w:r>
          </w:p>
        </w:tc>
        <w:tc>
          <w:tcPr>
            <w:tcW w:type="dxa" w:w="12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Tuteur</w:t>
            </w:r>
          </w:p>
        </w:tc>
        <w:tc>
          <w:tcPr>
            <w:tcW w:type="dxa" w:w="35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tuteur, je veux renseigner mes disponibilités récurrentes, mes périodes bloquées et mes lieux afin de proposer des créneaux compatibles avec mon organisation.</w:t>
            </w:r>
          </w:p>
        </w:tc>
        <w:tc>
          <w:tcPr>
            <w:tcW w:type="dxa" w:w="315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Les créneaux proposés tiennent compte des séances déjà réservées et des marges entre séances.</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US13</w:t>
            </w:r>
          </w:p>
        </w:tc>
        <w:tc>
          <w:tcPr>
            <w:tcW w:type="dxa" w:w="12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Tuteur</w:t>
            </w:r>
          </w:p>
        </w:tc>
        <w:tc>
          <w:tcPr>
            <w:tcW w:type="dxa" w:w="35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tuteur, je veux accepter ou refuser une demande de réservation afin de contrôler les séances que j’assure.</w:t>
            </w:r>
          </w:p>
        </w:tc>
        <w:tc>
          <w:tcPr>
            <w:tcW w:type="dxa" w:w="315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L’acceptation vérifie les conflits ; en cas de conflit, la demande reste en attente et les deux parties sont prévenues.</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US14</w:t>
            </w:r>
          </w:p>
        </w:tc>
        <w:tc>
          <w:tcPr>
            <w:tcW w:type="dxa" w:w="12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Tuteur</w:t>
            </w:r>
          </w:p>
        </w:tc>
        <w:tc>
          <w:tcPr>
            <w:tcW w:type="dxa" w:w="35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tuteur, je veux démarrer puis terminer la séance à l’aide d’un code afin de confirmer qu’elle a eu lieu.</w:t>
            </w:r>
          </w:p>
        </w:tc>
        <w:tc>
          <w:tcPr>
            <w:tcW w:type="dxa" w:w="315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Démarrage possible 15 minutes avant l’heure prévue ; cinq tentatives de code au maximum.</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US15</w:t>
            </w:r>
          </w:p>
        </w:tc>
        <w:tc>
          <w:tcPr>
            <w:tcW w:type="dxa" w:w="12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Tuteur</w:t>
            </w:r>
          </w:p>
        </w:tc>
        <w:tc>
          <w:tcPr>
            <w:tcW w:type="dxa" w:w="35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tuteur, je veux accepter des salles partenaires proches de ma zone afin de proposer des séances dans un lieu adapté.</w:t>
            </w:r>
          </w:p>
        </w:tc>
        <w:tc>
          <w:tcPr>
            <w:tcW w:type="dxa" w:w="315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Une salle hors de mon rayon d’intervention est refusée.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US16</w:t>
            </w:r>
          </w:p>
        </w:tc>
        <w:tc>
          <w:tcPr>
            <w:tcW w:type="dxa" w:w="12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Partenaire</w:t>
            </w:r>
          </w:p>
        </w:tc>
        <w:tc>
          <w:tcPr>
            <w:tcW w:type="dxa" w:w="35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gestionnaire de lieu, je veux déclarer ma structure, mes justificatifs et mes salles (horaires, fermetures, photos) et les soumettre à validation afin de les rendre réservables.</w:t>
            </w:r>
          </w:p>
        </w:tc>
        <w:tc>
          <w:tcPr>
            <w:tcW w:type="dxa" w:w="315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L’approbation exige le NIF et le numéro statistique ; une salle ne devient visible qu’une fois approuvée et publiée.</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US17</w:t>
            </w:r>
          </w:p>
        </w:tc>
        <w:tc>
          <w:tcPr>
            <w:tcW w:type="dxa" w:w="12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Partenaire</w:t>
            </w:r>
          </w:p>
        </w:tc>
        <w:tc>
          <w:tcPr>
            <w:tcW w:type="dxa" w:w="35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gestionnaire de lieu, je veux choisir une offre commerciale, consulter les réservations de mes salles et répondre aux avis afin de gérer mon activité.</w:t>
            </w:r>
          </w:p>
        </w:tc>
        <w:tc>
          <w:tcPr>
            <w:tcW w:type="dxa" w:w="315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Les réservations de la salle sont listées ; une seule réponse par avis.</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US18</w:t>
            </w:r>
          </w:p>
        </w:tc>
        <w:tc>
          <w:tcPr>
            <w:tcW w:type="dxa" w:w="12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Demandeur, Tuteur</w:t>
            </w:r>
          </w:p>
        </w:tc>
        <w:tc>
          <w:tcPr>
            <w:tcW w:type="dxa" w:w="35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qu’utilisateur, je veux échanger par messages vocaux et par appels afin de convenir des modalités d’une séance.</w:t>
            </w:r>
          </w:p>
        </w:tc>
        <w:tc>
          <w:tcPr>
            <w:tcW w:type="dxa" w:w="315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L’échange est rattaché à une conversation ; le destinataire est notifié.</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US19</w:t>
            </w:r>
          </w:p>
        </w:tc>
        <w:tc>
          <w:tcPr>
            <w:tcW w:type="dxa" w:w="12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Demandeur</w:t>
            </w:r>
          </w:p>
        </w:tc>
        <w:tc>
          <w:tcPr>
            <w:tcW w:type="dxa" w:w="35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que demandeur, je veux évaluer le tuteur et la salle après une séance terminée afin d’éclairer les autres utilisateurs.</w:t>
            </w:r>
          </w:p>
        </w:tc>
        <w:tc>
          <w:tcPr>
            <w:tcW w:type="dxa" w:w="315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seul avis par séance ; l’avis d’une salle porte sur cinq critères.</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US20</w:t>
            </w:r>
          </w:p>
        </w:tc>
        <w:tc>
          <w:tcPr>
            <w:tcW w:type="dxa" w:w="12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Administrateur</w:t>
            </w:r>
          </w:p>
        </w:tc>
        <w:tc>
          <w:tcPr>
            <w:tcW w:type="dxa" w:w="35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qu’administrateur, je veux examiner les candidatures, valider le niveau académique et les équivalences de diplôme afin de contrôler l’admission des tuteurs.</w:t>
            </w:r>
          </w:p>
        </w:tc>
        <w:tc>
          <w:tcPr>
            <w:tcW w:type="dxa" w:w="315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La décision est motivée et notifiée au tuteur ; un tuteur approuvé devient visible.</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US21</w:t>
            </w:r>
          </w:p>
        </w:tc>
        <w:tc>
          <w:tcPr>
            <w:tcW w:type="dxa" w:w="124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Administrateur</w:t>
            </w:r>
          </w:p>
        </w:tc>
        <w:tc>
          <w:tcPr>
            <w:tcW w:type="dxa" w:w="352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qu’administrateur, je veux valider ou suspendre les structures et les salles et modérer les avis afin de garantir la qualité des lieux proposés.</w:t>
            </w:r>
          </w:p>
        </w:tc>
        <w:tc>
          <w:tcPr>
            <w:tcW w:type="dxa" w:w="3159"/>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motif est obligatoire pour un refus ou un masquage.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US22</w:t>
            </w:r>
          </w:p>
        </w:tc>
        <w:tc>
          <w:tcPr>
            <w:tcW w:type="dxa" w:w="124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Administrateur</w:t>
            </w:r>
          </w:p>
        </w:tc>
        <w:tc>
          <w:tcPr>
            <w:tcW w:type="dxa" w:w="35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tant qu’administrateur, je veux suspendre un utilisateur ou un tuteur, désactiver une offre et traiter les conflits afin d’assurer le bon fonctionnement d’EduLoc.</w:t>
            </w:r>
          </w:p>
        </w:tc>
        <w:tc>
          <w:tcPr>
            <w:tcW w:type="dxa" w:w="3159"/>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Les réservations concernées par une suspension sont signalées comme conflits.</w:t>
            </w:r>
          </w:p>
        </w:tc>
      </w:tr>
    </w:tbl>
    <w:p>
      <w:pPr>
        <w:spacing w:after="160"/>
      </w:pPr>
    </w:p>
    <w:p>
      <w:pPr>
        <w:keepNext/>
        <w:spacing w:after="40" w:before="240"/>
      </w:pPr>
      <w:r>
        <w:rPr>
          <w:rFonts w:ascii="Arial" w:cs="Arial" w:eastAsia="Arial" w:hAnsi="Arial"/>
          <w:b/>
          <w:bCs/>
          <w:color w:val="332E86"/>
          <w:sz w:val="21"/>
          <w:szCs w:val="21"/>
        </w:rPr>
        <w:t xml:space="preserve">Tableau 24 : Product Backlog du projet EduLoc</w:t>
      </w:r>
    </w:p>
    <w:p>
      <w:pPr>
        <w:keepNext/>
        <w:spacing w:after="80"/>
      </w:pPr>
      <w:r>
        <w:rPr>
          <w:rFonts w:ascii="Arial" w:cs="Arial" w:eastAsia="Arial" w:hAnsi="Arial"/>
          <w:color w:val="777788"/>
          <w:sz w:val="17"/>
          <w:szCs w:val="17"/>
        </w:rPr>
        <w:t xml:space="preserve">Section : Product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31"/>
        <w:gridCol w:w="1237"/>
        <w:gridCol w:w="1132"/>
        <w:gridCol w:w="1015"/>
        <w:gridCol w:w="2711"/>
      </w:tblGrid>
      <w:tr>
        <w:trPr>
          <w:tblHeader/>
        </w:trPr>
        <w:tc>
          <w:tcPr>
            <w:tcW w:type="dxa" w:w="9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Item</w:t>
            </w:r>
          </w:p>
        </w:tc>
        <w:tc>
          <w:tcPr>
            <w:tcW w:type="dxa" w:w="203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Titre</w:t>
            </w:r>
          </w:p>
        </w:tc>
        <w:tc>
          <w:tcPr>
            <w:tcW w:type="dxa" w:w="1237"/>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User Stories</w:t>
            </w:r>
          </w:p>
        </w:tc>
        <w:tc>
          <w:tcPr>
            <w:tcW w:type="dxa" w:w="1132"/>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Importance</w:t>
            </w:r>
          </w:p>
        </w:tc>
        <w:tc>
          <w:tcPr>
            <w:tcW w:type="dxa" w:w="1015"/>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Estimation (JH)</w:t>
            </w:r>
          </w:p>
        </w:tc>
        <w:tc>
          <w:tcPr>
            <w:tcW w:type="dxa" w:w="271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Démonstration de la fonctionnalité</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PB01</w:t>
            </w:r>
          </w:p>
        </w:tc>
        <w:tc>
          <w:tcPr>
            <w:tcW w:type="dxa" w:w="203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Comptes, authentification et bénéficiaires</w:t>
            </w:r>
          </w:p>
        </w:tc>
        <w:tc>
          <w:tcPr>
            <w:tcW w:type="dxa" w:w="12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US01, US02</w:t>
            </w:r>
          </w:p>
        </w:tc>
        <w:tc>
          <w:tcPr>
            <w:tcW w:type="dxa" w:w="113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Très élevée</w:t>
            </w:r>
          </w:p>
        </w:tc>
        <w:tc>
          <w:tcPr>
            <w:tcW w:type="dxa" w:w="10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15</w:t>
            </w:r>
          </w:p>
        </w:tc>
        <w:tc>
          <w:tcPr>
            <w:tcW w:type="dxa" w:w="271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demandeur crée et vérifie son compte, se connecte et gère ses bénéficiaires.</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PB02</w:t>
            </w:r>
          </w:p>
        </w:tc>
        <w:tc>
          <w:tcPr>
            <w:tcW w:type="dxa" w:w="203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Catalogue pédagogique (niveaux, filières, matières)</w:t>
            </w:r>
          </w:p>
        </w:tc>
        <w:tc>
          <w:tcPr>
            <w:tcW w:type="dxa" w:w="12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US03</w:t>
            </w:r>
          </w:p>
        </w:tc>
        <w:tc>
          <w:tcPr>
            <w:tcW w:type="dxa" w:w="113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Très élevée</w:t>
            </w:r>
          </w:p>
        </w:tc>
        <w:tc>
          <w:tcPr>
            <w:tcW w:type="dxa" w:w="101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w:t>
            </w:r>
          </w:p>
        </w:tc>
        <w:tc>
          <w:tcPr>
            <w:tcW w:type="dxa" w:w="271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Les niveaux, séries, mentions et matières sont disponibles et filtrés selon le niveau choisi.</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PB03</w:t>
            </w:r>
          </w:p>
        </w:tc>
        <w:tc>
          <w:tcPr>
            <w:tcW w:type="dxa" w:w="203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Candidature, profil et offres du tuteur</w:t>
            </w:r>
          </w:p>
        </w:tc>
        <w:tc>
          <w:tcPr>
            <w:tcW w:type="dxa" w:w="12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US09, US11, US20</w:t>
            </w:r>
          </w:p>
        </w:tc>
        <w:tc>
          <w:tcPr>
            <w:tcW w:type="dxa" w:w="113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Très élevée</w:t>
            </w:r>
          </w:p>
        </w:tc>
        <w:tc>
          <w:tcPr>
            <w:tcW w:type="dxa" w:w="10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25</w:t>
            </w:r>
          </w:p>
        </w:tc>
        <w:tc>
          <w:tcPr>
            <w:tcW w:type="dxa" w:w="271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tuteur dépose son dossier, l’administrateur le valide, puis le tuteur publie ses offres.</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PB04</w:t>
            </w:r>
          </w:p>
        </w:tc>
        <w:tc>
          <w:tcPr>
            <w:tcW w:type="dxa" w:w="203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Disponibilités et lieux du tuteur</w:t>
            </w:r>
          </w:p>
        </w:tc>
        <w:tc>
          <w:tcPr>
            <w:tcW w:type="dxa" w:w="12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US12</w:t>
            </w:r>
          </w:p>
        </w:tc>
        <w:tc>
          <w:tcPr>
            <w:tcW w:type="dxa" w:w="113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Très élevée</w:t>
            </w:r>
          </w:p>
        </w:tc>
        <w:tc>
          <w:tcPr>
            <w:tcW w:type="dxa" w:w="101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12</w:t>
            </w:r>
          </w:p>
        </w:tc>
        <w:tc>
          <w:tcPr>
            <w:tcW w:type="dxa" w:w="271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tuteur renseigne ses plages récurrentes, ses périodes bloquées et ses lieux géolocalisés.</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PB05</w:t>
            </w:r>
          </w:p>
        </w:tc>
        <w:tc>
          <w:tcPr>
            <w:tcW w:type="dxa" w:w="203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Recherche classique géolocalisée</w:t>
            </w:r>
          </w:p>
        </w:tc>
        <w:tc>
          <w:tcPr>
            <w:tcW w:type="dxa" w:w="12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US03, US05</w:t>
            </w:r>
          </w:p>
        </w:tc>
        <w:tc>
          <w:tcPr>
            <w:tcW w:type="dxa" w:w="113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Très élevée</w:t>
            </w:r>
          </w:p>
        </w:tc>
        <w:tc>
          <w:tcPr>
            <w:tcW w:type="dxa" w:w="10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10</w:t>
            </w:r>
          </w:p>
        </w:tc>
        <w:tc>
          <w:tcPr>
            <w:tcW w:type="dxa" w:w="271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demandeur obtient des offres triées avec distance, créneaux libres et profil du tuteur.</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PB06</w:t>
            </w:r>
          </w:p>
        </w:tc>
        <w:tc>
          <w:tcPr>
            <w:tcW w:type="dxa" w:w="203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Réservation et décision du tuteur</w:t>
            </w:r>
          </w:p>
        </w:tc>
        <w:tc>
          <w:tcPr>
            <w:tcW w:type="dxa" w:w="12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US07, US08, US13</w:t>
            </w:r>
          </w:p>
        </w:tc>
        <w:tc>
          <w:tcPr>
            <w:tcW w:type="dxa" w:w="113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Très élevée</w:t>
            </w:r>
          </w:p>
        </w:tc>
        <w:tc>
          <w:tcPr>
            <w:tcW w:type="dxa" w:w="101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20</w:t>
            </w:r>
          </w:p>
        </w:tc>
        <w:tc>
          <w:tcPr>
            <w:tcW w:type="dxa" w:w="271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demandeur obtient un devis puis réserve ; le tuteur accepte ou refuse ; les conflits sont détectés.</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PB07</w:t>
            </w:r>
          </w:p>
        </w:tc>
        <w:tc>
          <w:tcPr>
            <w:tcW w:type="dxa" w:w="203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Déroulement de la séance</w:t>
            </w:r>
          </w:p>
        </w:tc>
        <w:tc>
          <w:tcPr>
            <w:tcW w:type="dxa" w:w="12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US14</w:t>
            </w:r>
          </w:p>
        </w:tc>
        <w:tc>
          <w:tcPr>
            <w:tcW w:type="dxa" w:w="113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Élevée</w:t>
            </w:r>
          </w:p>
        </w:tc>
        <w:tc>
          <w:tcPr>
            <w:tcW w:type="dxa" w:w="10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8</w:t>
            </w:r>
          </w:p>
        </w:tc>
        <w:tc>
          <w:tcPr>
            <w:tcW w:type="dxa" w:w="271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tuteur démarre la séance avec le code, la termine ; des rappels sont envoyés.</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PB08</w:t>
            </w:r>
          </w:p>
        </w:tc>
        <w:tc>
          <w:tcPr>
            <w:tcW w:type="dxa" w:w="203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Matching sémantique hybride</w:t>
            </w:r>
          </w:p>
        </w:tc>
        <w:tc>
          <w:tcPr>
            <w:tcW w:type="dxa" w:w="12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US04</w:t>
            </w:r>
          </w:p>
        </w:tc>
        <w:tc>
          <w:tcPr>
            <w:tcW w:type="dxa" w:w="113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Très élevée</w:t>
            </w:r>
          </w:p>
        </w:tc>
        <w:tc>
          <w:tcPr>
            <w:tcW w:type="dxa" w:w="101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25</w:t>
            </w:r>
          </w:p>
        </w:tc>
        <w:tc>
          <w:tcPr>
            <w:tcW w:type="dxa" w:w="271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Une description libre du besoin produit un classement de tuteurs pertinents avec leurs raisons.</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PB09</w:t>
            </w:r>
          </w:p>
        </w:tc>
        <w:tc>
          <w:tcPr>
            <w:tcW w:type="dxa" w:w="203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Import de CV</w:t>
            </w:r>
          </w:p>
        </w:tc>
        <w:tc>
          <w:tcPr>
            <w:tcW w:type="dxa" w:w="12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US10</w:t>
            </w:r>
          </w:p>
        </w:tc>
        <w:tc>
          <w:tcPr>
            <w:tcW w:type="dxa" w:w="113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Moyenne</w:t>
            </w:r>
          </w:p>
        </w:tc>
        <w:tc>
          <w:tcPr>
            <w:tcW w:type="dxa" w:w="10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10</w:t>
            </w:r>
          </w:p>
        </w:tc>
        <w:tc>
          <w:tcPr>
            <w:tcW w:type="dxa" w:w="271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CV déposé pré-remplit le dossier du tuteur, qui relit et confirme.</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PB10</w:t>
            </w:r>
          </w:p>
        </w:tc>
        <w:tc>
          <w:tcPr>
            <w:tcW w:type="dxa" w:w="203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Lieux partenaires et salles</w:t>
            </w:r>
          </w:p>
        </w:tc>
        <w:tc>
          <w:tcPr>
            <w:tcW w:type="dxa" w:w="12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US06, US15, US16, US17</w:t>
            </w:r>
          </w:p>
        </w:tc>
        <w:tc>
          <w:tcPr>
            <w:tcW w:type="dxa" w:w="113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Élevée</w:t>
            </w:r>
          </w:p>
        </w:tc>
        <w:tc>
          <w:tcPr>
            <w:tcW w:type="dxa" w:w="101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20</w:t>
            </w:r>
          </w:p>
        </w:tc>
        <w:tc>
          <w:tcPr>
            <w:tcW w:type="dxa" w:w="271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Une structure déclare ses salles ; le demandeur réserve une séance dans une salle disponible.</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PB11</w:t>
            </w:r>
          </w:p>
        </w:tc>
        <w:tc>
          <w:tcPr>
            <w:tcW w:type="dxa" w:w="203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Tarification et avis</w:t>
            </w:r>
          </w:p>
        </w:tc>
        <w:tc>
          <w:tcPr>
            <w:tcW w:type="dxa" w:w="12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US07, US19</w:t>
            </w:r>
          </w:p>
        </w:tc>
        <w:tc>
          <w:tcPr>
            <w:tcW w:type="dxa" w:w="113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Élevée</w:t>
            </w:r>
          </w:p>
        </w:tc>
        <w:tc>
          <w:tcPr>
            <w:tcW w:type="dxa" w:w="10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12</w:t>
            </w:r>
          </w:p>
        </w:tc>
        <w:tc>
          <w:tcPr>
            <w:tcW w:type="dxa" w:w="271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prix détaillé est calculé ; le demandeur évalue le tuteur et la salle.</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PB12</w:t>
            </w:r>
          </w:p>
        </w:tc>
        <w:tc>
          <w:tcPr>
            <w:tcW w:type="dxa" w:w="203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Communication et notifications</w:t>
            </w:r>
          </w:p>
        </w:tc>
        <w:tc>
          <w:tcPr>
            <w:tcW w:type="dxa" w:w="12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US18</w:t>
            </w:r>
          </w:p>
        </w:tc>
        <w:tc>
          <w:tcPr>
            <w:tcW w:type="dxa" w:w="113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Moyenne</w:t>
            </w:r>
          </w:p>
        </w:tc>
        <w:tc>
          <w:tcPr>
            <w:tcW w:type="dxa" w:w="101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15</w:t>
            </w:r>
          </w:p>
        </w:tc>
        <w:tc>
          <w:tcPr>
            <w:tcW w:type="dxa" w:w="271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Messages vocaux, appels et notifications en temps réel entre demandeur et tuteur.</w:t>
            </w:r>
          </w:p>
        </w:tc>
      </w:tr>
      <w:tr>
        <w:trPr>
          <w:cantSplit/>
        </w:trPr>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PB13</w:t>
            </w:r>
          </w:p>
        </w:tc>
        <w:tc>
          <w:tcPr>
            <w:tcW w:type="dxa" w:w="203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Administration, supervision et tests</w:t>
            </w:r>
          </w:p>
        </w:tc>
        <w:tc>
          <w:tcPr>
            <w:tcW w:type="dxa" w:w="123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US21, US22</w:t>
            </w:r>
          </w:p>
        </w:tc>
        <w:tc>
          <w:tcPr>
            <w:tcW w:type="dxa" w:w="113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Élevée</w:t>
            </w:r>
          </w:p>
        </w:tc>
        <w:tc>
          <w:tcPr>
            <w:tcW w:type="dxa" w:w="10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12</w:t>
            </w:r>
          </w:p>
        </w:tc>
        <w:tc>
          <w:tcPr>
            <w:tcW w:type="dxa" w:w="271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L’administrateur supervise la plateforme ; les parcours sont testés et sécurisés par rôle.</w:t>
            </w:r>
          </w:p>
        </w:tc>
      </w:tr>
      <w:tr>
        <w:trPr>
          <w:cantSplit/>
        </w:trPr>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203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Total</w:t>
            </w:r>
          </w:p>
        </w:tc>
        <w:tc>
          <w:tcPr>
            <w:tcW w:type="dxa" w:w="123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c>
          <w:tcPr>
            <w:tcW w:type="dxa" w:w="113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c>
          <w:tcPr>
            <w:tcW w:type="dxa" w:w="101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189</w:t>
            </w:r>
          </w:p>
        </w:tc>
        <w:tc>
          <w:tcPr>
            <w:tcW w:type="dxa" w:w="271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bl>
    <w:p>
      <w:pPr>
        <w:spacing w:after="160"/>
      </w:pPr>
    </w:p>
    <w:p>
      <w:pPr>
        <w:keepNext/>
        <w:spacing w:after="40" w:before="240"/>
      </w:pPr>
      <w:r>
        <w:rPr>
          <w:rFonts w:ascii="Arial" w:cs="Arial" w:eastAsia="Arial" w:hAnsi="Arial"/>
          <w:b/>
          <w:bCs/>
          <w:color w:val="332E86"/>
          <w:sz w:val="21"/>
          <w:szCs w:val="21"/>
        </w:rPr>
        <w:t xml:space="preserve">Tableau 25 : Proposition de répartition des éléments du Product Backlog</w:t>
      </w:r>
    </w:p>
    <w:p>
      <w:pPr>
        <w:keepNext/>
        <w:spacing w:after="80"/>
      </w:pPr>
      <w:r>
        <w:rPr>
          <w:rFonts w:ascii="Arial" w:cs="Arial" w:eastAsia="Arial" w:hAnsi="Arial"/>
          <w:color w:val="777788"/>
          <w:sz w:val="17"/>
          <w:szCs w:val="17"/>
        </w:rPr>
        <w:t xml:space="preserve">Section : Présentation du travail à faire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3"/>
        <w:gridCol w:w="2401"/>
        <w:gridCol w:w="1128"/>
        <w:gridCol w:w="3383"/>
        <w:gridCol w:w="1131"/>
      </w:tblGrid>
      <w:tr>
        <w:trPr>
          <w:tblHeader/>
        </w:trPr>
        <w:tc>
          <w:tcPr>
            <w:tcW w:type="dxa" w:w="983"/>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Sprint</w:t>
            </w:r>
          </w:p>
        </w:tc>
        <w:tc>
          <w:tcPr>
            <w:tcW w:type="dxa" w:w="240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Titre du sprint</w:t>
            </w:r>
          </w:p>
        </w:tc>
        <w:tc>
          <w:tcPr>
            <w:tcW w:type="dxa" w:w="1128"/>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Items</w:t>
            </w:r>
          </w:p>
        </w:tc>
        <w:tc>
          <w:tcPr>
            <w:tcW w:type="dxa" w:w="3383"/>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Objectif du sprint</w:t>
            </w:r>
          </w:p>
        </w:tc>
        <w:tc>
          <w:tcPr>
            <w:tcW w:type="dxa" w:w="113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Estimation (JH)</w:t>
            </w:r>
          </w:p>
        </w:tc>
      </w:tr>
      <w:tr>
        <w:trPr>
          <w:cantSplit/>
        </w:trPr>
        <w:tc>
          <w:tcPr>
            <w:tcW w:type="dxa" w:w="9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Sprint 1</w:t>
            </w:r>
          </w:p>
        </w:tc>
        <w:tc>
          <w:tcPr>
            <w:tcW w:type="dxa" w:w="240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Comptes, bénéficiaires et catalogue</w:t>
            </w:r>
          </w:p>
        </w:tc>
        <w:tc>
          <w:tcPr>
            <w:tcW w:type="dxa" w:w="112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PB01, PB02</w:t>
            </w:r>
          </w:p>
        </w:tc>
        <w:tc>
          <w:tcPr>
            <w:tcW w:type="dxa" w:w="33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Disposer des comptes, de l’authentification, des bénéficiaires et du catalogue pédagogique.</w:t>
            </w:r>
          </w:p>
        </w:tc>
        <w:tc>
          <w:tcPr>
            <w:tcW w:type="dxa" w:w="113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20</w:t>
            </w:r>
          </w:p>
        </w:tc>
      </w:tr>
      <w:tr>
        <w:trPr>
          <w:cantSplit/>
        </w:trPr>
        <w:tc>
          <w:tcPr>
            <w:tcW w:type="dxa" w:w="9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Sprint 2</w:t>
            </w:r>
          </w:p>
        </w:tc>
        <w:tc>
          <w:tcPr>
            <w:tcW w:type="dxa" w:w="240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Candidature, profil et offres du tuteur</w:t>
            </w:r>
          </w:p>
        </w:tc>
        <w:tc>
          <w:tcPr>
            <w:tcW w:type="dxa" w:w="112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PB03</w:t>
            </w:r>
          </w:p>
        </w:tc>
        <w:tc>
          <w:tcPr>
            <w:tcW w:type="dxa" w:w="33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Permettre à un tuteur d’être admis puis de publier ses offres.</w:t>
            </w:r>
          </w:p>
        </w:tc>
        <w:tc>
          <w:tcPr>
            <w:tcW w:type="dxa" w:w="113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25</w:t>
            </w:r>
          </w:p>
        </w:tc>
      </w:tr>
      <w:tr>
        <w:trPr>
          <w:cantSplit/>
        </w:trPr>
        <w:tc>
          <w:tcPr>
            <w:tcW w:type="dxa" w:w="9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Sprint 3</w:t>
            </w:r>
          </w:p>
        </w:tc>
        <w:tc>
          <w:tcPr>
            <w:tcW w:type="dxa" w:w="240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Disponibilités, lieux et recherche classique</w:t>
            </w:r>
          </w:p>
        </w:tc>
        <w:tc>
          <w:tcPr>
            <w:tcW w:type="dxa" w:w="112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PB04, PB05</w:t>
            </w:r>
          </w:p>
        </w:tc>
        <w:tc>
          <w:tcPr>
            <w:tcW w:type="dxa" w:w="33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Rendre les tuteurs trouvables et leurs créneaux consultables, avec la géolocalisation.</w:t>
            </w:r>
          </w:p>
        </w:tc>
        <w:tc>
          <w:tcPr>
            <w:tcW w:type="dxa" w:w="113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22</w:t>
            </w:r>
          </w:p>
        </w:tc>
      </w:tr>
      <w:tr>
        <w:trPr>
          <w:cantSplit/>
        </w:trPr>
        <w:tc>
          <w:tcPr>
            <w:tcW w:type="dxa" w:w="9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Sprint 4</w:t>
            </w:r>
          </w:p>
        </w:tc>
        <w:tc>
          <w:tcPr>
            <w:tcW w:type="dxa" w:w="240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Réservation et déroulement de la séance</w:t>
            </w:r>
          </w:p>
        </w:tc>
        <w:tc>
          <w:tcPr>
            <w:tcW w:type="dxa" w:w="112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PB06, PB07</w:t>
            </w:r>
          </w:p>
        </w:tc>
        <w:tc>
          <w:tcPr>
            <w:tcW w:type="dxa" w:w="33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Permettre de réserver, de décider, d’annuler et de dérouler une séance.</w:t>
            </w:r>
          </w:p>
        </w:tc>
        <w:tc>
          <w:tcPr>
            <w:tcW w:type="dxa" w:w="113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28</w:t>
            </w:r>
          </w:p>
        </w:tc>
      </w:tr>
      <w:tr>
        <w:trPr>
          <w:cantSplit/>
        </w:trPr>
        <w:tc>
          <w:tcPr>
            <w:tcW w:type="dxa" w:w="9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Sprint 5</w:t>
            </w:r>
          </w:p>
        </w:tc>
        <w:tc>
          <w:tcPr>
            <w:tcW w:type="dxa" w:w="240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Matching sémantique et import de CV</w:t>
            </w:r>
          </w:p>
        </w:tc>
        <w:tc>
          <w:tcPr>
            <w:tcW w:type="dxa" w:w="112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PB08, PB09</w:t>
            </w:r>
          </w:p>
        </w:tc>
        <w:tc>
          <w:tcPr>
            <w:tcW w:type="dxa" w:w="33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Améliorer la pertinence des résultats et accélérer la saisie du dossier du tuteur.</w:t>
            </w:r>
          </w:p>
        </w:tc>
        <w:tc>
          <w:tcPr>
            <w:tcW w:type="dxa" w:w="113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35</w:t>
            </w:r>
          </w:p>
        </w:tc>
      </w:tr>
      <w:tr>
        <w:trPr>
          <w:cantSplit/>
        </w:trPr>
        <w:tc>
          <w:tcPr>
            <w:tcW w:type="dxa" w:w="9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Sprint 6</w:t>
            </w:r>
          </w:p>
        </w:tc>
        <w:tc>
          <w:tcPr>
            <w:tcW w:type="dxa" w:w="240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Lieux partenaires, tarification et avis</w:t>
            </w:r>
          </w:p>
        </w:tc>
        <w:tc>
          <w:tcPr>
            <w:tcW w:type="dxa" w:w="112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PB10, PB11</w:t>
            </w:r>
          </w:p>
        </w:tc>
        <w:tc>
          <w:tcPr>
            <w:tcW w:type="dxa" w:w="33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Ouvrir les séances aux salles partenaires, calculer le prix et recueillir les avis.</w:t>
            </w:r>
          </w:p>
        </w:tc>
        <w:tc>
          <w:tcPr>
            <w:tcW w:type="dxa" w:w="113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32</w:t>
            </w:r>
          </w:p>
        </w:tc>
      </w:tr>
      <w:tr>
        <w:trPr>
          <w:cantSplit/>
        </w:trPr>
        <w:tc>
          <w:tcPr>
            <w:tcW w:type="dxa" w:w="9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Sprint 7</w:t>
            </w:r>
          </w:p>
        </w:tc>
        <w:tc>
          <w:tcPr>
            <w:tcW w:type="dxa" w:w="240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Communication, notifications et administration</w:t>
            </w:r>
          </w:p>
        </w:tc>
        <w:tc>
          <w:tcPr>
            <w:tcW w:type="dxa" w:w="112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PB12, PB13</w:t>
            </w:r>
          </w:p>
        </w:tc>
        <w:tc>
          <w:tcPr>
            <w:tcW w:type="dxa" w:w="33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Fluidifier les échanges, superviser la plateforme et stabiliser l’ensemble.</w:t>
            </w:r>
          </w:p>
        </w:tc>
        <w:tc>
          <w:tcPr>
            <w:tcW w:type="dxa" w:w="113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27</w:t>
            </w:r>
          </w:p>
        </w:tc>
      </w:tr>
      <w:tr>
        <w:trPr>
          <w:cantSplit/>
        </w:trPr>
        <w:tc>
          <w:tcPr>
            <w:tcW w:type="dxa" w:w="9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240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Total</w:t>
            </w:r>
          </w:p>
        </w:tc>
        <w:tc>
          <w:tcPr>
            <w:tcW w:type="dxa" w:w="112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c>
          <w:tcPr>
            <w:tcW w:type="dxa" w:w="33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c>
          <w:tcPr>
            <w:tcW w:type="dxa" w:w="113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189</w:t>
            </w:r>
          </w:p>
        </w:tc>
      </w:tr>
    </w:tbl>
    <w:p>
      <w:pPr>
        <w:spacing w:after="160"/>
      </w:pPr>
    </w:p>
    <w:p>
      <w:pPr>
        <w:keepNext/>
        <w:spacing w:after="40" w:before="240"/>
      </w:pPr>
      <w:r>
        <w:rPr>
          <w:rFonts w:ascii="Arial" w:cs="Arial" w:eastAsia="Arial" w:hAnsi="Arial"/>
          <w:b/>
          <w:bCs/>
          <w:color w:val="332E86"/>
          <w:sz w:val="21"/>
          <w:szCs w:val="21"/>
        </w:rPr>
        <w:t xml:space="preserve">Tableau 26 : Modèle de planification d’un sprint</w:t>
      </w:r>
    </w:p>
    <w:p>
      <w:pPr>
        <w:keepNext/>
        <w:spacing w:after="80"/>
      </w:pPr>
      <w:r>
        <w:rPr>
          <w:rFonts w:ascii="Arial" w:cs="Arial" w:eastAsia="Arial" w:hAnsi="Arial"/>
          <w:color w:val="777788"/>
          <w:sz w:val="17"/>
          <w:szCs w:val="17"/>
        </w:rPr>
        <w:t xml:space="preserve">Section : Planification du sprint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812"/>
        <w:gridCol w:w="1114"/>
      </w:tblGrid>
      <w:tr>
        <w:trPr>
          <w:tblHeader/>
        </w:trPr>
        <w:tc>
          <w:tcPr>
            <w:tcW w:type="dxa" w:w="11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Sprint</w:t>
            </w:r>
          </w:p>
        </w:tc>
        <w:tc>
          <w:tcPr>
            <w:tcW w:type="dxa" w:w="6812"/>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Tâches</w:t>
            </w:r>
          </w:p>
        </w:tc>
        <w:tc>
          <w:tcPr>
            <w:tcW w:type="dxa" w:w="1114"/>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Estimation (JH)</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Sprint 1</w:t>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Conception du schéma (User, Beneficiary, EducationLevel, AcademicTrack, Subject) et migration initiale de la base de données</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3</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Authentification : inscription, vérification de l’e-mail, connexion, jetons de rafraîchissement, réinitialisation du mot de passe</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6</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Gestion des bénéficiaires (API et écrans)</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4</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Catalogue : échelle académique, filières (séries et mentions), matières, API de consultation</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4</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Tests unitaires et corrections</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3</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Sous-total Sprint 1</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20</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Sprint 2</w:t>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Modélisation du profil tuteur, de la candidature, des documents, des expériences, des offres et des équivalences de diplôme</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4</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Parcours de candidature : identité, parcours, compétences, présentation vidéo, téléversement des justificatifs (API et écrans)</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9</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Validation par l’administrateur : approbation ou refus, niveau académique, équivalences de diplôme</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Gestion des offres : création, durées possibles, série obligatoire, désactivation</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4</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Tests et corrections</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3</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Sous-total Sprint 2</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25</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Sprint 3</w:t>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Modélisation des lieux (PostGIS), des disponibilités et des périodes bloquées ; contraintes d’intégrité</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4</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Gestion des disponibilités et des lieux (API et écrans)</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6</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Calcul des créneaux libres (pas de 30 minutes, marges entre séances)</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4</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Recherche classique d’offres avec distance, floutage des domiciles et mise en cache</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Tests unitaires et corrections</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3</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Sous-total Sprint 3</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22</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Sprint 4</w:t>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Modélisation de la réservation, du blocage de créneau, du journal d’événements et des conflits ; machine d’états</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4</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Devis, blocage du créneau pendant 15 minutes, création de la demande (préavis, créneau, conflits)</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6</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Acceptation, refus et annulation ; détection et enregistrement des conflits ; notifications</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6</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Code de démarrage (génération chiffrée, tentatives limitées), démarrage, fin de séance, clôture automatique, rappels</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Écrans de réservation (assistant) et de suivi des demandes</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4</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Tests unitaires et d’intégration</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3</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Sous-total Sprint 4</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28</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Sprint 5</w:t>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Fondation sémantique : extension pgvector, fragments indexés, historique des recherches, échelle académique</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Indexation : extraction de texte, reconnaissance de caractères, découpage, calcul des embeddings, traitement asynchrone</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8</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Présélection en SQL : éligibilité de niveau, mention, format</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4</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Classement sémantique, score et classement final (pédagogie, disponibilité, proximité, qualité)</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Import de CV : lecture du document, extraction structurée, normalisation, rapprochement des matières</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8</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Évaluation sur un jeu de données (rappel, nDCG) et tests</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Sous-total Sprint 5</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35</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Sprint 6</w:t>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Modélisation des structures, salles, horaires, fermetures, salles acceptées par le tuteur et offres commerciales</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Parcours partenaire : structure, justificatifs, salles, soumission et validation par l’administrateur</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8</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Options et créneaux de salles ; réservation de la salle à l’acceptation ; conflit « salle indisponible »</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7</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Tarification : grille de déplacement, frais de salle, frais de service</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4</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Avis sur le tuteur et sur la salle : réponse, masquage motivé</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Tests unitaires et d’intégration</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3</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Sous-total Sprint 6</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32</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Sprint 7</w:t>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Conversations, messages vocaux et documents (stockage sécurisé)</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Appels audio et vidéo (LiveKit) et temps réel (Centrifugo)</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Notifications : file d’événements, notifications push et e-mails</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Espace d’administration : Back-office web d’administration : dossiers tuteurs, offres, utilisateurs, conflits, lieux partenaires, réindexation.</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Tests d’intégration, contrôle des accès par rôle et corrections finales</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7</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Sous-total Sprint 7</w:t>
            </w:r>
          </w:p>
        </w:tc>
        <w:tc>
          <w:tcPr>
            <w:tcW w:type="dxa" w:w="11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27</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
            </w:r>
          </w:p>
        </w:tc>
        <w:tc>
          <w:tcPr>
            <w:tcW w:type="dxa" w:w="681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Total général</w:t>
            </w:r>
          </w:p>
        </w:tc>
        <w:tc>
          <w:tcPr>
            <w:tcW w:type="dxa" w:w="11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189</w:t>
            </w:r>
          </w:p>
        </w:tc>
      </w:tr>
    </w:tbl>
    <w:p>
      <w:pPr>
        <w:spacing w:after="160"/>
      </w:pPr>
    </w:p>
    <w:p>
      <w:pPr>
        <w:keepNext/>
        <w:spacing w:after="40" w:before="240"/>
      </w:pPr>
      <w:r>
        <w:rPr>
          <w:rFonts w:ascii="Arial" w:cs="Arial" w:eastAsia="Arial" w:hAnsi="Arial"/>
          <w:b/>
          <w:bCs/>
          <w:color w:val="332E86"/>
          <w:sz w:val="21"/>
          <w:szCs w:val="21"/>
        </w:rPr>
        <w:t xml:space="preserve">Tableau 27 : Dictionnaire des données</w:t>
      </w:r>
    </w:p>
    <w:p>
      <w:pPr>
        <w:keepNext/>
        <w:spacing w:after="80"/>
      </w:pPr>
      <w:r>
        <w:rPr>
          <w:rFonts w:ascii="Arial" w:cs="Arial" w:eastAsia="Arial" w:hAnsi="Arial"/>
          <w:color w:val="777788"/>
          <w:sz w:val="17"/>
          <w:szCs w:val="17"/>
        </w:rPr>
        <w:t xml:space="preserve">Section : 5.5. Dictionnaire des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83"/>
        <w:gridCol w:w="2657"/>
        <w:gridCol w:w="900"/>
        <w:gridCol w:w="900"/>
        <w:gridCol w:w="2786"/>
      </w:tblGrid>
      <w:tr>
        <w:trPr>
          <w:tblHeader/>
        </w:trPr>
        <w:tc>
          <w:tcPr>
            <w:tcW w:type="dxa" w:w="1783"/>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Nom</w:t>
            </w:r>
          </w:p>
        </w:tc>
        <w:tc>
          <w:tcPr>
            <w:tcW w:type="dxa" w:w="2657"/>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Description</w:t>
            </w:r>
          </w:p>
        </w:tc>
        <w:tc>
          <w:tcPr>
            <w:tcW w:type="dxa" w:w="9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Type</w:t>
            </w:r>
          </w:p>
        </w:tc>
        <w:tc>
          <w:tcPr>
            <w:tcW w:type="dxa" w:w="9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Taille</w:t>
            </w:r>
          </w:p>
        </w:tc>
        <w:tc>
          <w:tcPr>
            <w:tcW w:type="dxa" w:w="278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Commentaire</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academicLevelId</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Niveau académique validé du tuteur</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36</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Référence d’un niveau d’étude</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academicRank</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Rang d’un niveau dans l’échelle académique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 (Primaire) à 9 (Doctorat) ; vide = hors échelle (Formation pro)</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address</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Adresse d’un lieu du tuteur</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addressLine</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Adresse d’une salle partenaire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Visible seulement après confirmation</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areaLabel</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Zone de recherche préférée du bénéficiaire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availabilityWindows</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Plages de disponibilité du bénéficiaire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J</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Liste de jour, début, fin</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bio</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Présentation du tuteur</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birthDate</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Date de naissance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10</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jj-mm-aaaa</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capacity</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Nombre de places d’une salle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Au moins 1</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category</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Catégorie d’un niveau ou d’une matière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Primaire, Collège, Lycée, Université, Formation pro</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clientMessageId</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Identifiant d’idempotence d’un message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36</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Évite les doublons à l’envoi</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commissionRate</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Taux de commission propre à un tuteur ou une salle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5,4</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Prévu ; le taux global s’applique pour l’instant</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competenceDescription</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Compétence du tuteur pour une matière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content</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Texte d’un fragment indexé pour la recherche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contentHash</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Empreinte d’un fragment indexé</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Détecte les changements à réindexer</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currency</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Devise des montants</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3</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MGA par défaut</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dayOfWeek</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Jour de la semaine d’une plage récurrente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degreeCountry</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Pays du diplôme du tuteur</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Clé des équivalences de diplôme</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degreeTitle</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Intitulé du diplôme du tuteur</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description</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Description d’une offre, d’une matière ou d’une salle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difficultyType</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Nature de la difficulté du bénéficiaire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THEORETICAL, PRACTICAL, METHODOLOGICAL, CONFIDENCE, OTHER</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displayName</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Nom affiché du tuteur</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durationMinutes</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Durée standard d’une séance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60 par défaut</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durationOptions</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Durées supplémentaires proposées pour une offre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Liste de durées en minutes</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email</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Adresse e-mail, identifiant de connexion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Unique</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emailVerified</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Adresse e-mail confirmée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embedding</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Représentation vectorielle d’un fragment</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768</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Type pgvector</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embeddingModel</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Modèle d’embedding utilisé</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changement impose une réindexation</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endAt</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Fin d’une séance, d’un blocage ou d’une période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16</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jj-mm-aaaa hh:mm</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endTime</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Heure de fin d’une plage récurrente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hh:mm</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equipment</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Équipements d’une salle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Liste</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expiresAt</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Échéance du blocage d’un créneau</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16</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15 minutes après le devis</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extractedText</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Texte extrait d’un document ou d’un CV</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Lecture directe ou OCR</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fileHash</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Empreinte du fichier de CV</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Évite de retraiter un même CV</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firstName</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Prénom d’un utilisateur ou d’un bénéficiaire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format</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Format d’enseignement d’une offre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ONLINE, IN_PERSON, BOTH</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gender</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Genre du tuteur</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highestDegree</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Plus haut diplôme déclaré</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id</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Identifiant unique d’une entité</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36</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UUID, clé primaire de chaque table</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isActive</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Élément actif ou désactivé</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Offre, lieu, plage, niveau, matière</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isAdmin</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Droits d’administration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Faux par défaut</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isVisible</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Profil du tuteur visible dans les recherches</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Faux avant l’approbation</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kind</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Type de filière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SERIE ou MENTION</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label</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Libellé d’un lieu ou d’un fragment indexé</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language</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Langue de l’utilisateur</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fr par défaut</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lastName</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Nom d’un utilisateur ou d’un bénéficiaire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latitude</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Latitude d’un lieu ou d’une salle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Degrés décimaux (WGS 84)</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location</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Point géographique d’un lieu ou d’une salle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G</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geography(Point, 4326)</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longitude</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Longitude d’un lieu ou d’une salle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Degrés décimaux (WGS 84)</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maxBudget</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Budget maximal du bénéficiaire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12,2</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Filtre sur les offres</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mimeType</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Type de fichier téléversé</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name</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Nom d’une matière, d’un niveau, d’une salle ou d’une structure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needDescription</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Besoin exprimé en texte libre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Entrée du matching sémantique</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nif</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Numéro d’identification fiscale d’une structure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Exigé pour l’approbation</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objective</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Objectif pédagogique du bénéficiaire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REMEDIAL, ONGOING, EXCELLENCE</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otpAttempts</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Tentatives de saisie du code de démarrage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Cinq au maximum</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otpExpiresAt</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Expiration du code de démarrage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16</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Fin de la séance</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participantsCount</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Nombre de participants à une séance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 par défaut</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partnerRoomRadiusM</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Rayon d’accueil des salles autour du tuteur</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mètres</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password</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Mot de passe haché</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argon2id</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phone</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Numéro de téléphone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platform</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Plateforme d’un appareil enregistré</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ANDROID, IOS, WEB</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preferredFormat</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Format préféré du bénéficiaire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ONLINE, IN_PERSON, BOTH</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preferredPlace</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Mode de séance préféré du bénéficiaire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Valeurs de teachingMode</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preferredRhythm</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Rythme souhaité par le bénéficiaire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ONE_TIME, OCCASIONAL, REGULAR, INTENSIVE</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price</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Tarif d’une offre ou d’une séance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12,2</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Ariary</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pricePerHour</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Tarif horaire d’une salle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12,2</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Plafonné</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publication</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État de publication d’une salle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UNPUBLISHED, PUBLISHED, UNPUBLISHED_BY_ADMIN</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rating</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Note moyenne d’un tuteur ou d’une salle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 0 à 5</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relationship</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Lien entre le demandeur et le bénéficiaire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SELF, CHILD, SPOUSE, SIBLING, PARENT, RELATIVE, OTHER</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requesterNote</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Précision du besoin saisie à la réservation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results</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Résultats d’une recherche sémantique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J</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Conservés pour l’évaluation</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reviewsCount</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Nombre d’avis reçus</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roomFee</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Frais de salle d’une réservation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12,2</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Revient au partenaire</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searchRadiusM</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Rayon de recherche du bénéficiaire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 mètres</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serviceFee</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Frais de service EduLoc d’une réservation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12,2</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Calculé sur le tarif du tuteur</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serviceFeeRate</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Taux des frais de service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5,4</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0,10 par défaut</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sourceType</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Origine d’un fragment indexé</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PROFILE, SUBJECT, EXPERIENCE, OFFER, DOCUMENT</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startAt</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Début d’une séance, d’un blocage ou d’une période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16</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jj-mm-aaaa hh:mm</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startOtpCipher</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Code de démarrage chiffré</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Jamais stocké en clair</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startTime</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Heure de début d’une plage récurrente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hh:mm</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stat</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Numéro statistique d’une structure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Exigé pour l’approbation</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status</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État d’un compte, d’une candidature, d’un document, d’une réservation, d’une structure ou d’une salle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Voir les énumérations de chaque classe</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subjectText</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Matière saisie librement lors d’une recherche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teachingMode</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Mode de déroulement d’une séance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ONLINE, AT_HOME_BENEFICIARY, AT_HOME_TUTOR, PUBLIC_PLACE, PARTNER_ROOM</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timezone</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Fuseau horaire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Indian/Antananarivo par défaut</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title</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Titre d’une offre ou d’une expérience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totalAmount</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Montant total payé par le demandeur</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12,2</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Tarif + déplacement + salle + frais de service</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trackCodes</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Codes des filières auxquelles une matière s’applique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Liste</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travelDistanceM</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Distance de déplacement d’une séance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À vol d’oiseau, en mètres</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travelFee</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Frais de déplacement d’une réservation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12,2</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Forfait par tranche de distance</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type</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Type d’un lieu, d’un document, d’une expérience, d’un message ou d’une notification</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Voir les énumérations de chaque classe</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validFrom</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Début de validité d’une plage</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10</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jj-mm-aaaa</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validUntil</w:t>
            </w:r>
          </w:p>
        </w:tc>
        <w:tc>
          <w:tcPr>
            <w:tcW w:type="dxa" w:w="265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Fin de validité d’une plage</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w:t>
            </w:r>
          </w:p>
        </w:tc>
        <w:tc>
          <w:tcPr>
            <w:tcW w:type="dxa" w:w="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10</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jj-mm-aaaa</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welcomesMinors</w:t>
            </w:r>
          </w:p>
        </w:tc>
        <w:tc>
          <w:tcPr>
            <w:tcW w:type="dxa" w:w="265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Salle accueillant des mineurs</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w:t>
            </w:r>
          </w:p>
        </w:tc>
        <w:tc>
          <w:tcPr>
            <w:tcW w:type="dxa" w:w="9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Faux par défaut</w:t>
            </w:r>
          </w:p>
        </w:tc>
      </w:tr>
    </w:tbl>
    <w:p>
      <w:pPr>
        <w:spacing w:after="160"/>
      </w:pPr>
    </w:p>
    <w:p>
      <w:pPr>
        <w:keepNext/>
        <w:spacing w:after="40" w:before="240"/>
      </w:pPr>
      <w:r>
        <w:rPr>
          <w:rFonts w:ascii="Arial" w:cs="Arial" w:eastAsia="Arial" w:hAnsi="Arial"/>
          <w:b/>
          <w:bCs/>
          <w:color w:val="332E86"/>
          <w:sz w:val="21"/>
          <w:szCs w:val="21"/>
        </w:rPr>
        <w:t xml:space="preserve">Tableau 28 : Règles de gestion</w:t>
      </w:r>
    </w:p>
    <w:p>
      <w:pPr>
        <w:keepNext/>
        <w:spacing w:after="80"/>
      </w:pPr>
      <w:r>
        <w:rPr>
          <w:rFonts w:ascii="Arial" w:cs="Arial" w:eastAsia="Arial" w:hAnsi="Arial"/>
          <w:color w:val="777788"/>
          <w:sz w:val="17"/>
          <w:szCs w:val="17"/>
        </w:rPr>
        <w:t xml:space="preserve">Section : 5.6. Règles de gestion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448"/>
        <w:gridCol w:w="6478"/>
      </w:tblGrid>
      <w:tr>
        <w:trPr>
          <w:tblHeader/>
        </w:trPr>
        <w:tc>
          <w:tcPr>
            <w:tcW w:type="dxa" w:w="11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N°</w:t>
            </w:r>
          </w:p>
        </w:tc>
        <w:tc>
          <w:tcPr>
            <w:tcW w:type="dxa" w:w="1448"/>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Domaine</w:t>
            </w:r>
          </w:p>
        </w:tc>
        <w:tc>
          <w:tcPr>
            <w:tcW w:type="dxa" w:w="6478"/>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Règle de gestion</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01</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Comptes</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Une adresse e-mail identifie un seul compte. Le mot de passe est conservé sous forme hachée (argon2id).</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02</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Comptes</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compte est créé à l’état « en attente de vérification » et ne peut se connecter qu’après confirmation de son adresse e-mail.</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03</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Comptes</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utilisateur possède au plus un profil de tuteur et gère au plus une structure partenaire ; un même compte peut endosser plusieurs modes d’utilisation.</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04</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Bénéficiaires</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demandeur gère un ou plusieurs bénéficiaires ; chacun précise son lien avec le demandeur (lui-même, enfant, conjoint, proche, etc.). Un bénéficiaire n’a pas de compte propre.</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05</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Catalogue</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Les niveaux suivent une échelle de rang : Primaire 1, Collège 2, Lycée 3, Licence 1 à 3 de rang 4 à 6, Master 1 et 2 de rang 7 et 8, Doctorat 9. Le niveau « Formation pro » est hors échelle.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06</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Catalogue</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Une offre destinée à une classe de Première ou de Terminale doit préciser une série ; au niveau universitaire, elle peut préciser une mention.</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07</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Candidature</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La candidature d’un tuteur passe par les états brouillons, en attente, puis approuvée ou refusée ; un refus est accompagné d’un motif.</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08</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Candidature</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tuteur n’est visible dans les recherches qu’après l’approbation de sa candidature ; sa suspension le rend à nouveau invisible.</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09</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Candidature</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niveau académique d’un tuteur est validé par l’administrateur, à partir de ses justificatifs et, au besoin, d’une équivalence de diplôme réutilisable.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10</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Import de CV</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Les informations extraites d’un CV ne sont jamais enregistrées automatiquement : le tuteur les relit et les confirme.</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11</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Offres</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Une offre précise une matière, un format (en ligne, en présentiel ou les deux), une durée, un tarif et éventuellement des durées supplémentaires ; elle peut être désactivée par le tuteur ou par l’administrateur.</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12</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Disponibilités</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tuteur déclare des plages hebdomadaires récurrentes (jour, heure de début, heure de fin), éventuellement bornées par des dates de validité, et des périodes bloquées.</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13</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Disponibilités</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Les créneaux proposés démarrent selon un pas de 30 minutes, ne chevauchent ni une séance réservée ni une période bloquée, et respectent une marge de 15 minutes entre deux séances.</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14</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Disponibilités</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Entre deux séances en présentiel dans des lieux différents, une marge supplémentaire de 30 minutes est appliquée pour le déplacement.</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15</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Recherche</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Pour une demande universitaire de rang r, seuls les tuteurs dont le niveau académique validé est de rang au moins r + 1 (plafonné à Doctorat) sont éligibles ; une demande de niveau Doctorat n’est ouverte qu’aux docteurs ; une demande hors échelle n’a aucun tuteur éligible.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16</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Recherche</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La mention est une barrière dure : un tuteur dont toutes les offres compatibles visent une autre mention est écarté. La matière n’est pas un filtre dur.</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17</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Recherche</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tuteur n’est retenu que si la similarité de sa meilleure source atteint un seuil minimal (0,65) ; l’éligibilité est décidée par le serveur, avant tout calcul sémantique.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18</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Recherche</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classement final combine la pédagogie (0,60), la disponibilité (0,20), la proximité (0,10) et la qualité (0,10) ; il réordonne les tuteurs retenus sans jamais en rendre un nouveau admissible.</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19</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Recherche</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Toute modification du profil, des matières, des expériences, des offres ou des documents d’un tuteur déclenche la réindexation de ses fragments de recherche.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20</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Confidentialité</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Dans les API publiques, la position d’un domicile est arrondie à une maille d’environ 1 km et la distance est arrondie ; l’adresse exacte du tuteur n’est communiquée qu’après confirmation de la réservation.</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21</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Réservation</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Une réservation relie un demandeur, un bénéficiaire, un tuteur et une offre, pour un créneau précis et un mode de séance (en ligne, domicile du bénéficiaire, domicile du tuteur, lieu public ou salle partenaire).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22</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Réservation</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Une demande doit être envoyée au moins 24 heures avant le début de la séance.</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23</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Réservation</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devis bloque le créneau du tuteur (et de la salle) pendant 15 minutes pour le demandeur ; passé ce délai, le blocage expire. Une demande en attente ne bloque pas le créneau.</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24</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Réservation</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Seul le tuteur peut accepter ou refuser une demande en attente ; le demandeur ou l’administrateur peut l’annuler.</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25</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Réservation</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À l’acceptation, le serveur vérifie l’absence de chevauchement, la disponibilité du tuteur, l’état actif de l’offre et, pour une salle, sa disponibilité ; en cas d’échec, la demande reste en attente, un conflit est enregistré et le demandeur et le tuteur sont informés.</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26</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Réservation</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Une séance confirmée peut être annulée par le demandeur, le tuteur, l’administrateur ou le système ; l’annulation est impossible à moins de 2 heures du début et exige une justification à moins de 24 heures.</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27</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Séance</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À l’acceptation, un code de démarrage est généré et conservé chiffré ; il est communiqué au demandeur et expire à la fin de la séance.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28</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Séance</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tuteur démarre la séance en saisissant le code, à partir de 15 minutes avant le début et jusqu’à la fin ; après cinq tentatives erronées, le code est verrouillé.</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29</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Séance</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tuteur termine la séance ; une séance restée en cours est clôturée automatiquement par le système.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30</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Séance</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Chaque changement d’état d’une réservation est enregistré dans un journal (ancien état, nouvel état, acteur, motif).</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31</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Prix</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montant total est la somme du tarif du tuteur, des frais de déplacement, des frais de salle et des frais de service de 10 % calculés sur le seul tarif du tuteur, payés en plus par le demandeur.</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32</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Prix</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Les frais de déplacement suivent une grille commune par tranche de distance : 0 Ar jusqu’à 3 km, 5 000 Ar jusqu’à 7 km, 8 000 Ar jusqu’à 12 km, 10 000 Ar au-delà.</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33</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Prix</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tarif horaire d’une salle ne peut dépasser un plafond fixé à 10 000 Ar ; le prix d’une durée supplémentaire est proportionnel au tarif de l’offre.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34</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Lieux partenaires</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Une structure est validée par l’administrateur (NIF et numéro statistique obligatoires pour l’approbation) ; chaque salle a son propre dossier de validation et sa propre publication.</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35</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Lieux partenaires</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Une salle n’est visible et réservable que si la structure est approuvée, la salle est approuvée et publiée, et l’abonnement le permet.</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36</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Lieux partenaires</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Une séance en salle partenaire exige une salle ; la salle n’est réellement réservée qu’à l’acceptation de la demande.</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37</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Lieux partenaires</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tuteur doit accepter une salle pour pouvoir l’utiliser ; une salle située hors de son rayon d’intervention est refusée.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38</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Lieux partenaires</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Une salle n’accueille pas de mineurs par défaut ; un bénéficiaire sans date de naissance est considéré comme mineur jusqu’au lycée.</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39</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Avis</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Seule une séance terminée peut donner lieu à un avis ; le demandeur ne peut déposer qu’un avis par séance sur le tuteur.</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40</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Avis</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avis de salle peut être rédigé par le demandeur ou par le tuteur de la séance, une seule fois par auteur et par séance ; le partenaire dispose d’une réponse unique.</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41</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Avis</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L’administrateur peut masquer un avis en indiquant un motif.</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42</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Communication</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La communication entre utilisateurs est vocale : les messages sont des enregistrements ou des documents, sans saisie de texte ; une conversation relie un demandeur et un tuteur.</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 43</w:t>
            </w:r>
          </w:p>
        </w:tc>
        <w:tc>
          <w:tcPr>
            <w:tcW w:type="dxa" w:w="144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Notifications</w:t>
            </w:r>
          </w:p>
        </w:tc>
        <w:tc>
          <w:tcPr>
            <w:tcW w:type="dxa" w:w="6478"/>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Les événements importants (demande, décision, annulation, début et fin de séance, appel, rappel) sont enregistrés dans une file d’événements puis diffusés sous forme de notification, de push ou d’e-mail.</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RG 44</w:t>
            </w:r>
          </w:p>
        </w:tc>
        <w:tc>
          <w:tcPr>
            <w:tcW w:type="dxa" w:w="144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Administration</w:t>
            </w:r>
          </w:p>
        </w:tc>
        <w:tc>
          <w:tcPr>
            <w:tcW w:type="dxa" w:w="6478"/>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Seul un utilisateur disposant des droits d’administration peut valider une candidature, une structure ou une salle, suspendre un utilisateur, désactiver une offre, masquer un avis ou résoudre un conflit.</w:t>
            </w:r>
          </w:p>
        </w:tc>
      </w:tr>
    </w:tbl>
    <w:p>
      <w:pPr>
        <w:spacing w:after="160"/>
      </w:pPr>
    </w:p>
    <w:p>
      <w:pPr>
        <w:keepNext/>
        <w:spacing w:after="40" w:before="240"/>
      </w:pPr>
      <w:r>
        <w:rPr>
          <w:rFonts w:ascii="Arial" w:cs="Arial" w:eastAsia="Arial" w:hAnsi="Arial"/>
          <w:b/>
          <w:bCs/>
          <w:color w:val="332E86"/>
          <w:sz w:val="21"/>
          <w:szCs w:val="21"/>
        </w:rPr>
        <w:t xml:space="preserve">Tableau 29 : Description des paquetages</w:t>
      </w:r>
    </w:p>
    <w:p>
      <w:pPr>
        <w:keepNext/>
        <w:spacing w:after="80"/>
      </w:pPr>
      <w:r>
        <w:rPr>
          <w:rFonts w:ascii="Arial" w:cs="Arial" w:eastAsia="Arial" w:hAnsi="Arial"/>
          <w:color w:val="777788"/>
          <w:sz w:val="17"/>
          <w:szCs w:val="17"/>
        </w:rPr>
        <w:t xml:space="preserve">Section : 5.10. Diagramme de paquetage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2"/>
        <w:gridCol w:w="2563"/>
        <w:gridCol w:w="4791"/>
      </w:tblGrid>
      <w:tr>
        <w:trPr>
          <w:tblHeader/>
        </w:trPr>
        <w:tc>
          <w:tcPr>
            <w:tcW w:type="dxa" w:w="1672"/>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Ensemble</w:t>
            </w:r>
          </w:p>
        </w:tc>
        <w:tc>
          <w:tcPr>
            <w:tcW w:type="dxa" w:w="2563"/>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Paquetage</w:t>
            </w:r>
          </w:p>
        </w:tc>
        <w:tc>
          <w:tcPr>
            <w:tcW w:type="dxa" w:w="479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Responsabilité</w:t>
            </w:r>
          </w:p>
        </w:tc>
      </w:tr>
      <w:tr>
        <w:trPr>
          <w:cantSplit/>
        </w:trPr>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Application mobile</w:t>
            </w:r>
          </w:p>
        </w:tc>
        <w:tc>
          <w:tcPr>
            <w:tcW w:type="dxa" w:w="256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app, screens, components</w:t>
            </w:r>
          </w:p>
        </w:tc>
        <w:tc>
          <w:tcPr>
            <w:tcW w:type="dxa" w:w="479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Routes et navigation, écrans, composants d’interface réutilisables.</w:t>
            </w:r>
          </w:p>
        </w:tc>
      </w:tr>
      <w:tr>
        <w:trPr>
          <w:cantSplit/>
        </w:trPr>
        <w:tc>
          <w:tcPr>
            <w:tcW w:type="dxa" w:w="16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Application mobile</w:t>
            </w:r>
          </w:p>
        </w:tc>
        <w:tc>
          <w:tcPr>
            <w:tcW w:type="dxa" w:w="256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store, services, api</w:t>
            </w:r>
          </w:p>
        </w:tc>
        <w:tc>
          <w:tcPr>
            <w:tcW w:type="dxa" w:w="479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État global (authentification, recherche, réservation, candidature), un service par domaine et client HTTP avec téléversement de fichiers.</w:t>
            </w:r>
          </w:p>
        </w:tc>
      </w:tr>
      <w:tr>
        <w:trPr>
          <w:cantSplit/>
        </w:trPr>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Application mobile</w:t>
            </w:r>
          </w:p>
        </w:tc>
        <w:tc>
          <w:tcPr>
            <w:tcW w:type="dxa" w:w="256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realtime, hooks, types, utils</w:t>
            </w:r>
          </w:p>
        </w:tc>
        <w:tc>
          <w:tcPr>
            <w:tcW w:type="dxa" w:w="479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Abonnement aux événements temps réel, logique réutilisable, types partagés et utilitaires.</w:t>
            </w:r>
          </w:p>
        </w:tc>
      </w:tr>
      <w:tr>
        <w:trPr>
          <w:cantSplit/>
        </w:trPr>
        <w:tc>
          <w:tcPr>
            <w:tcW w:type="dxa" w:w="16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Serveur</w:t>
            </w:r>
          </w:p>
        </w:tc>
        <w:tc>
          <w:tcPr>
            <w:tcW w:type="dxa" w:w="256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common, core</w:t>
            </w:r>
          </w:p>
        </w:tc>
        <w:tc>
          <w:tcPr>
            <w:tcW w:type="dxa" w:w="479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Gestion des erreurs, gardes d’accès par rôle, validation des entrées, configuration.</w:t>
            </w:r>
          </w:p>
        </w:tc>
      </w:tr>
      <w:tr>
        <w:trPr>
          <w:cantSplit/>
        </w:trPr>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Serveur</w:t>
            </w:r>
          </w:p>
        </w:tc>
        <w:tc>
          <w:tcPr>
            <w:tcW w:type="dxa" w:w="256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auth, users, beneficiaries</w:t>
            </w:r>
          </w:p>
        </w:tc>
        <w:tc>
          <w:tcPr>
            <w:tcW w:type="dxa" w:w="479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Inscription, connexion, jetons, profil utilisateur, bénéficiaires.</w:t>
            </w:r>
          </w:p>
        </w:tc>
      </w:tr>
      <w:tr>
        <w:trPr>
          <w:cantSplit/>
        </w:trPr>
        <w:tc>
          <w:tcPr>
            <w:tcW w:type="dxa" w:w="16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Serveur</w:t>
            </w:r>
          </w:p>
        </w:tc>
        <w:tc>
          <w:tcPr>
            <w:tcW w:type="dxa" w:w="256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catalog</w:t>
            </w:r>
          </w:p>
        </w:tc>
        <w:tc>
          <w:tcPr>
            <w:tcW w:type="dxa" w:w="479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Niveaux, échelle académique, filières, matières.</w:t>
            </w:r>
          </w:p>
        </w:tc>
      </w:tr>
      <w:tr>
        <w:trPr>
          <w:cantSplit/>
        </w:trPr>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Serveur</w:t>
            </w:r>
          </w:p>
        </w:tc>
        <w:tc>
          <w:tcPr>
            <w:tcW w:type="dxa" w:w="256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tutors</w:t>
            </w:r>
          </w:p>
        </w:tc>
        <w:tc>
          <w:tcPr>
            <w:tcW w:type="dxa" w:w="479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Candidature, profil, offres, lieux et disponibilités du tuteur.</w:t>
            </w:r>
          </w:p>
        </w:tc>
      </w:tr>
      <w:tr>
        <w:trPr>
          <w:cantSplit/>
        </w:trPr>
        <w:tc>
          <w:tcPr>
            <w:tcW w:type="dxa" w:w="16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Serveur</w:t>
            </w:r>
          </w:p>
        </w:tc>
        <w:tc>
          <w:tcPr>
            <w:tcW w:type="dxa" w:w="256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search, geo</w:t>
            </w:r>
          </w:p>
        </w:tc>
        <w:tc>
          <w:tcPr>
            <w:tcW w:type="dxa" w:w="479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Recherche classique d’offres, fiches publiques, créneaux, géocodage et position.</w:t>
            </w:r>
          </w:p>
        </w:tc>
      </w:tr>
      <w:tr>
        <w:trPr>
          <w:cantSplit/>
        </w:trPr>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Serveur</w:t>
            </w:r>
          </w:p>
        </w:tc>
        <w:tc>
          <w:tcPr>
            <w:tcW w:type="dxa" w:w="256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matching, cv-import</w:t>
            </w:r>
          </w:p>
        </w:tc>
        <w:tc>
          <w:tcPr>
            <w:tcW w:type="dxa" w:w="479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Indexation, présélection, classement sémantique ; import de CV.</w:t>
            </w:r>
          </w:p>
        </w:tc>
      </w:tr>
      <w:tr>
        <w:trPr>
          <w:cantSplit/>
        </w:trPr>
        <w:tc>
          <w:tcPr>
            <w:tcW w:type="dxa" w:w="16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Serveur</w:t>
            </w:r>
          </w:p>
        </w:tc>
        <w:tc>
          <w:tcPr>
            <w:tcW w:type="dxa" w:w="256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bookings</w:t>
            </w:r>
          </w:p>
        </w:tc>
        <w:tc>
          <w:tcPr>
            <w:tcW w:type="dxa" w:w="479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Devis, réservation, décision, annulation, code de démarrage, rappels, règles de prix.</w:t>
            </w:r>
          </w:p>
        </w:tc>
      </w:tr>
      <w:tr>
        <w:trPr>
          <w:cantSplit/>
        </w:trPr>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Serveur</w:t>
            </w:r>
          </w:p>
        </w:tc>
        <w:tc>
          <w:tcPr>
            <w:tcW w:type="dxa" w:w="256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rooms, partners</w:t>
            </w:r>
          </w:p>
        </w:tc>
        <w:tc>
          <w:tcPr>
            <w:tcW w:type="dxa" w:w="479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Salles partenaires, options et créneaux de salles ; structures, justificatifs, abonnements, validation.</w:t>
            </w:r>
          </w:p>
        </w:tc>
      </w:tr>
      <w:tr>
        <w:trPr>
          <w:cantSplit/>
        </w:trPr>
        <w:tc>
          <w:tcPr>
            <w:tcW w:type="dxa" w:w="16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Serveur</w:t>
            </w:r>
          </w:p>
        </w:tc>
        <w:tc>
          <w:tcPr>
            <w:tcW w:type="dxa" w:w="256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reviews</w:t>
            </w:r>
          </w:p>
        </w:tc>
        <w:tc>
          <w:tcPr>
            <w:tcW w:type="dxa" w:w="479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Avis sur les tuteurs.</w:t>
            </w:r>
          </w:p>
        </w:tc>
      </w:tr>
      <w:tr>
        <w:trPr>
          <w:cantSplit/>
        </w:trPr>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Serveur</w:t>
            </w:r>
          </w:p>
        </w:tc>
        <w:tc>
          <w:tcPr>
            <w:tcW w:type="dxa" w:w="256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communication, notifications, realtime</w:t>
            </w:r>
          </w:p>
        </w:tc>
        <w:tc>
          <w:tcPr>
            <w:tcW w:type="dxa" w:w="479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Conversations, messages, appels ; notifications ; jetons de connexion temps réel.</w:t>
            </w:r>
          </w:p>
        </w:tc>
      </w:tr>
      <w:tr>
        <w:trPr>
          <w:cantSplit/>
        </w:trPr>
        <w:tc>
          <w:tcPr>
            <w:tcW w:type="dxa" w:w="16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Serveur</w:t>
            </w:r>
          </w:p>
        </w:tc>
        <w:tc>
          <w:tcPr>
            <w:tcW w:type="dxa" w:w="256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admin</w:t>
            </w:r>
          </w:p>
        </w:tc>
        <w:tc>
          <w:tcPr>
            <w:tcW w:type="dxa" w:w="479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Supervision, validations, modération, conflits, réindexation.</w:t>
            </w:r>
          </w:p>
        </w:tc>
      </w:tr>
      <w:tr>
        <w:trPr>
          <w:cantSplit/>
        </w:trPr>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Infrastructure</w:t>
            </w:r>
          </w:p>
        </w:tc>
        <w:tc>
          <w:tcPr>
            <w:tcW w:type="dxa" w:w="256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cache, outbox, storage, push, realtime, calls</w:t>
            </w:r>
          </w:p>
        </w:tc>
        <w:tc>
          <w:tcPr>
            <w:tcW w:type="dxa" w:w="479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Cache et limitation de débit ; file d’événements ; stockage de fichiers ; notifications push ; diffusion temps réel ; appels audio et vidéo.</w:t>
            </w:r>
          </w:p>
        </w:tc>
      </w:tr>
    </w:tbl>
    <w:p>
      <w:pPr>
        <w:spacing w:after="160"/>
      </w:pPr>
    </w:p>
    <w:p>
      <w:pPr>
        <w:keepNext/>
        <w:spacing w:after="40" w:before="240"/>
      </w:pPr>
      <w:r>
        <w:rPr>
          <w:rFonts w:ascii="Arial" w:cs="Arial" w:eastAsia="Arial" w:hAnsi="Arial"/>
          <w:b/>
          <w:bCs/>
          <w:color w:val="332E86"/>
          <w:sz w:val="21"/>
          <w:szCs w:val="21"/>
        </w:rPr>
        <w:t xml:space="preserve">Tableau 30 : Nœuds et composants du déploiement</w:t>
      </w:r>
    </w:p>
    <w:p>
      <w:pPr>
        <w:keepNext/>
        <w:spacing w:after="80"/>
      </w:pPr>
      <w:r>
        <w:rPr>
          <w:rFonts w:ascii="Arial" w:cs="Arial" w:eastAsia="Arial" w:hAnsi="Arial"/>
          <w:color w:val="777788"/>
          <w:sz w:val="17"/>
          <w:szCs w:val="17"/>
        </w:rPr>
        <w:t xml:space="preserve">Section : 5.11. Diagramme de déploiement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83"/>
        <w:gridCol w:w="1672"/>
        <w:gridCol w:w="2897"/>
        <w:gridCol w:w="2674"/>
      </w:tblGrid>
      <w:tr>
        <w:trPr>
          <w:tblHeader/>
        </w:trPr>
        <w:tc>
          <w:tcPr>
            <w:tcW w:type="dxa" w:w="1783"/>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Nœud</w:t>
            </w:r>
          </w:p>
        </w:tc>
        <w:tc>
          <w:tcPr>
            <w:tcW w:type="dxa" w:w="1672"/>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Composants</w:t>
            </w:r>
          </w:p>
        </w:tc>
        <w:tc>
          <w:tcPr>
            <w:tcW w:type="dxa" w:w="2897"/>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Technologie</w:t>
            </w:r>
          </w:p>
        </w:tc>
        <w:tc>
          <w:tcPr>
            <w:tcW w:type="dxa" w:w="2674"/>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Communication</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Smartphone (Android, iOS)</w:t>
            </w:r>
          </w:p>
        </w:tc>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Application EduLoc</w:t>
            </w:r>
          </w:p>
        </w:tc>
        <w:tc>
          <w:tcPr>
            <w:tcW w:type="dxa" w:w="289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React Native v0.86.3, Expo (Expo Go v57.0.9 en développement)</w:t>
            </w:r>
          </w:p>
        </w:tc>
        <w:tc>
          <w:tcPr>
            <w:tcW w:type="dxa" w:w="267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HTTPS vers l’API ; WebSocket vers Centrifugo ; WebRTC vers LiveKit</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Serveur applicatif</w:t>
            </w:r>
          </w:p>
        </w:tc>
        <w:tc>
          <w:tcPr>
            <w:tcW w:type="dxa" w:w="16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API REST</w:t>
            </w:r>
          </w:p>
        </w:tc>
        <w:tc>
          <w:tcPr>
            <w:tcW w:type="dxa" w:w="289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Node.js, NestJS 10.4.15, TypeScript</w:t>
            </w:r>
          </w:p>
        </w:tc>
        <w:tc>
          <w:tcPr>
            <w:tcW w:type="dxa" w:w="267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HTTPS (JSON) ; TCP vers PostgreSQL et Redis ; HTTP vers les autres services</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Serveur applicatif</w:t>
            </w:r>
          </w:p>
        </w:tc>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Centrifugo</w:t>
            </w:r>
          </w:p>
        </w:tc>
        <w:tc>
          <w:tcPr>
            <w:tcW w:type="dxa" w:w="289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Centrifugo v6</w:t>
            </w:r>
          </w:p>
        </w:tc>
        <w:tc>
          <w:tcPr>
            <w:tcW w:type="dxa" w:w="267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Diffusion des événements temps réel aux clients</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Serveur applicatif</w:t>
            </w:r>
          </w:p>
        </w:tc>
        <w:tc>
          <w:tcPr>
            <w:tcW w:type="dxa" w:w="16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LiveKit</w:t>
            </w:r>
          </w:p>
        </w:tc>
        <w:tc>
          <w:tcPr>
            <w:tcW w:type="dxa" w:w="289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LiveKit v1.13.7</w:t>
            </w:r>
          </w:p>
        </w:tc>
        <w:tc>
          <w:tcPr>
            <w:tcW w:type="dxa" w:w="267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Appels audio et vidéo (jetons émis par l’API)</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Serveur applicatif</w:t>
            </w:r>
          </w:p>
        </w:tc>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Cache</w:t>
            </w:r>
          </w:p>
        </w:tc>
        <w:tc>
          <w:tcPr>
            <w:tcW w:type="dxa" w:w="289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Redis v7.4.10</w:t>
            </w:r>
          </w:p>
        </w:tc>
        <w:tc>
          <w:tcPr>
            <w:tcW w:type="dxa" w:w="267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TCP 6379 (cache, limitation de débit)</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Serveur de données</w:t>
            </w:r>
          </w:p>
        </w:tc>
        <w:tc>
          <w:tcPr>
            <w:tcW w:type="dxa" w:w="16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Base de données</w:t>
            </w:r>
          </w:p>
        </w:tc>
        <w:tc>
          <w:tcPr>
            <w:tcW w:type="dxa" w:w="289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PostgreSQL 16 avec PostGIS et pgvector</w:t>
            </w:r>
          </w:p>
        </w:tc>
        <w:tc>
          <w:tcPr>
            <w:tcW w:type="dxa" w:w="267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TCP 5432 (Prisma, SQL)</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Serveur de données</w:t>
            </w:r>
          </w:p>
        </w:tc>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Administration</w:t>
            </w:r>
          </w:p>
        </w:tc>
        <w:tc>
          <w:tcPr>
            <w:tcW w:type="dxa" w:w="289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pgAdmin 4</w:t>
            </w:r>
          </w:p>
        </w:tc>
        <w:tc>
          <w:tcPr>
            <w:tcW w:type="dxa" w:w="267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Interface web d’administration de la base</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Serveur d’intelligence artificielle</w:t>
            </w:r>
          </w:p>
        </w:tc>
        <w:tc>
          <w:tcPr>
            <w:tcW w:type="dxa" w:w="16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Embeddings et LLM</w:t>
            </w:r>
          </w:p>
        </w:tc>
        <w:tc>
          <w:tcPr>
            <w:tcW w:type="dxa" w:w="289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Ollama v0.40.4 (EmbeddingGemma, Qwen 2.5)</w:t>
            </w:r>
          </w:p>
        </w:tc>
        <w:tc>
          <w:tcPr>
            <w:tcW w:type="dxa" w:w="267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HTTP sur le réseau privé uniquement</w:t>
            </w:r>
          </w:p>
        </w:tc>
      </w:tr>
      <w:tr>
        <w:trPr>
          <w:cantSplit/>
        </w:trPr>
        <w:tc>
          <w:tcPr>
            <w:tcW w:type="dxa" w:w="17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Serveur d’intelligence artificielle</w:t>
            </w:r>
          </w:p>
        </w:tc>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Lecture de documents</w:t>
            </w:r>
          </w:p>
        </w:tc>
        <w:tc>
          <w:tcPr>
            <w:tcW w:type="dxa" w:w="2897"/>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PaddleOCR v2.7</w:t>
            </w:r>
          </w:p>
        </w:tc>
        <w:tc>
          <w:tcPr>
            <w:tcW w:type="dxa" w:w="267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HTTP sur le réseau privé uniquement</w:t>
            </w:r>
          </w:p>
        </w:tc>
      </w:tr>
      <w:tr>
        <w:trPr>
          <w:cantSplit/>
        </w:trPr>
        <w:tc>
          <w:tcPr>
            <w:tcW w:type="dxa" w:w="17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Services externes</w:t>
            </w:r>
          </w:p>
        </w:tc>
        <w:tc>
          <w:tcPr>
            <w:tcW w:type="dxa" w:w="16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Stockage, notifications, e-mails, géocodage</w:t>
            </w:r>
          </w:p>
        </w:tc>
        <w:tc>
          <w:tcPr>
            <w:tcW w:type="dxa" w:w="2897"/>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Supabase Storage (ou disque local en développement), Expo Push / FCM, Resend, Nominatim</w:t>
            </w:r>
          </w:p>
        </w:tc>
        <w:tc>
          <w:tcPr>
            <w:tcW w:type="dxa" w:w="267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HTTPS (URL signées pour les fichiers)</w:t>
            </w:r>
          </w:p>
        </w:tc>
      </w:tr>
    </w:tbl>
    <w:p>
      <w:pPr>
        <w:spacing w:after="160"/>
      </w:pPr>
    </w:p>
    <w:p>
      <w:pPr>
        <w:keepNext/>
        <w:spacing w:after="40" w:before="240"/>
      </w:pPr>
      <w:r>
        <w:rPr>
          <w:rFonts w:ascii="Arial" w:cs="Arial" w:eastAsia="Arial" w:hAnsi="Arial"/>
          <w:b/>
          <w:bCs/>
          <w:color w:val="332E86"/>
          <w:sz w:val="21"/>
          <w:szCs w:val="21"/>
        </w:rPr>
        <w:t xml:space="preserve">Tableau 31 : Services de l’environnement Docker Compose</w:t>
      </w:r>
    </w:p>
    <w:p>
      <w:pPr>
        <w:keepNext/>
        <w:spacing w:after="80"/>
      </w:pPr>
      <w:r>
        <w:rPr>
          <w:rFonts w:ascii="Arial" w:cs="Arial" w:eastAsia="Arial" w:hAnsi="Arial"/>
          <w:color w:val="777788"/>
          <w:sz w:val="17"/>
          <w:szCs w:val="17"/>
        </w:rPr>
        <w:t xml:space="preserve">Section : Services conteneurisés avec Docker Compose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5"/>
        <w:gridCol w:w="2785"/>
        <w:gridCol w:w="1560"/>
        <w:gridCol w:w="2786"/>
      </w:tblGrid>
      <w:tr>
        <w:trPr>
          <w:tblHeader/>
        </w:trPr>
        <w:tc>
          <w:tcPr>
            <w:tcW w:type="dxa" w:w="1895"/>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Service</w:t>
            </w:r>
          </w:p>
        </w:tc>
        <w:tc>
          <w:tcPr>
            <w:tcW w:type="dxa" w:w="2785"/>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Image</w:t>
            </w:r>
          </w:p>
        </w:tc>
        <w:tc>
          <w:tcPr>
            <w:tcW w:type="dxa" w:w="156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Port</w:t>
            </w:r>
          </w:p>
        </w:tc>
        <w:tc>
          <w:tcPr>
            <w:tcW w:type="dxa" w:w="278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Rôle</w:t>
            </w:r>
          </w:p>
        </w:tc>
      </w:tr>
      <w:tr>
        <w:trPr>
          <w:cantSplit/>
        </w:trPr>
        <w:tc>
          <w:tcPr>
            <w:tcW w:type="dxa" w:w="189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db</w:t>
            </w:r>
          </w:p>
        </w:tc>
        <w:tc>
          <w:tcPr>
            <w:tcW w:type="dxa" w:w="278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Image du projet : PostgreSQL 16, PostGIS 3.4, pgvector 0.8.0</w:t>
            </w:r>
          </w:p>
        </w:tc>
        <w:tc>
          <w:tcPr>
            <w:tcW w:type="dxa" w:w="156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5433 (hôte)</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Base de données relationnelle, calculs géographiques et recherche vectorielle.</w:t>
            </w:r>
          </w:p>
        </w:tc>
      </w:tr>
      <w:tr>
        <w:trPr>
          <w:cantSplit/>
        </w:trPr>
        <w:tc>
          <w:tcPr>
            <w:tcW w:type="dxa" w:w="189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pgadmin</w:t>
            </w:r>
          </w:p>
        </w:tc>
        <w:tc>
          <w:tcPr>
            <w:tcW w:type="dxa" w:w="278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pgAdmin 4</w:t>
            </w:r>
          </w:p>
        </w:tc>
        <w:tc>
          <w:tcPr>
            <w:tcW w:type="dxa" w:w="156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5050 (local uniquement)</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Interface web d’administration de la base.</w:t>
            </w:r>
          </w:p>
        </w:tc>
      </w:tr>
      <w:tr>
        <w:trPr>
          <w:cantSplit/>
        </w:trPr>
        <w:tc>
          <w:tcPr>
            <w:tcW w:type="dxa" w:w="189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redis</w:t>
            </w:r>
          </w:p>
        </w:tc>
        <w:tc>
          <w:tcPr>
            <w:tcW w:type="dxa" w:w="278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Redis 7 (Alpine)</w:t>
            </w:r>
          </w:p>
        </w:tc>
        <w:tc>
          <w:tcPr>
            <w:tcW w:type="dxa" w:w="156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6379</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Cache, limitation de débit, idempotence des requêtes.</w:t>
            </w:r>
          </w:p>
        </w:tc>
      </w:tr>
      <w:tr>
        <w:trPr>
          <w:cantSplit/>
        </w:trPr>
        <w:tc>
          <w:tcPr>
            <w:tcW w:type="dxa" w:w="189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centrifugo</w:t>
            </w:r>
          </w:p>
        </w:tc>
        <w:tc>
          <w:tcPr>
            <w:tcW w:type="dxa" w:w="278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Centrifugo v6</w:t>
            </w:r>
          </w:p>
        </w:tc>
        <w:tc>
          <w:tcPr>
            <w:tcW w:type="dxa" w:w="156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8000</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Diffusion des événements temps réel vers l’application.</w:t>
            </w:r>
          </w:p>
        </w:tc>
      </w:tr>
      <w:tr>
        <w:trPr>
          <w:cantSplit/>
        </w:trPr>
        <w:tc>
          <w:tcPr>
            <w:tcW w:type="dxa" w:w="189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livekit</w:t>
            </w:r>
          </w:p>
        </w:tc>
        <w:tc>
          <w:tcPr>
            <w:tcW w:type="dxa" w:w="278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LiveKit</w:t>
            </w:r>
          </w:p>
        </w:tc>
        <w:tc>
          <w:tcPr>
            <w:tcW w:type="dxa" w:w="156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7880 à 7882, plage UDP</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Appels audio et vidéo.</w:t>
            </w:r>
          </w:p>
        </w:tc>
      </w:tr>
      <w:tr>
        <w:trPr>
          <w:cantSplit/>
        </w:trPr>
        <w:tc>
          <w:tcPr>
            <w:tcW w:type="dxa" w:w="189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ollama (+ ollama-init, ollama-init-cv)</w:t>
            </w:r>
          </w:p>
        </w:tc>
        <w:tc>
          <w:tcPr>
            <w:tcW w:type="dxa" w:w="278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Ollama 0.40.4</w:t>
            </w:r>
          </w:p>
        </w:tc>
        <w:tc>
          <w:tcPr>
            <w:tcW w:type="dxa" w:w="156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Réseau privé (11434)</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Exécute les modèles d’embeddings et d’extraction de CV ; deux tâches ponctuelles téléchargent les modèles.</w:t>
            </w:r>
          </w:p>
        </w:tc>
      </w:tr>
      <w:tr>
        <w:trPr>
          <w:cantSplit/>
        </w:trPr>
        <w:tc>
          <w:tcPr>
            <w:tcW w:type="dxa" w:w="189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paddleocr</w:t>
            </w:r>
          </w:p>
        </w:tc>
        <w:tc>
          <w:tcPr>
            <w:tcW w:type="dxa" w:w="278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Image du projet : PaddleOCR 2.7 (CPU)</w:t>
            </w:r>
          </w:p>
        </w:tc>
        <w:tc>
          <w:tcPr>
            <w:tcW w:type="dxa" w:w="156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Réseau privé (5000)</w:t>
            </w:r>
          </w:p>
        </w:tc>
        <w:tc>
          <w:tcPr>
            <w:tcW w:type="dxa" w:w="278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Lecture de texte dans les documents et les photos.</w:t>
            </w:r>
          </w:p>
        </w:tc>
      </w:tr>
      <w:tr>
        <w:trPr>
          <w:cantSplit/>
        </w:trPr>
        <w:tc>
          <w:tcPr>
            <w:tcW w:type="dxa" w:w="189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api</w:t>
            </w:r>
          </w:p>
        </w:tc>
        <w:tc>
          <w:tcPr>
            <w:tcW w:type="dxa" w:w="278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Image du projet : Node 22 (Alpine), construction en deux étapes</w:t>
            </w:r>
          </w:p>
        </w:tc>
        <w:tc>
          <w:tcPr>
            <w:tcW w:type="dxa" w:w="156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3000</w:t>
            </w:r>
          </w:p>
        </w:tc>
        <w:tc>
          <w:tcPr>
            <w:tcW w:type="dxa" w:w="278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API REST NestJS ; sonde de santé /health.</w:t>
            </w:r>
          </w:p>
        </w:tc>
      </w:tr>
    </w:tbl>
    <w:p>
      <w:pPr>
        <w:spacing w:after="160"/>
      </w:pPr>
    </w:p>
    <w:p>
      <w:pPr>
        <w:keepNext/>
        <w:spacing w:after="40" w:before="240"/>
      </w:pPr>
      <w:r>
        <w:rPr>
          <w:rFonts w:ascii="Arial" w:cs="Arial" w:eastAsia="Arial" w:hAnsi="Arial"/>
          <w:b/>
          <w:bCs/>
          <w:color w:val="332E86"/>
          <w:sz w:val="21"/>
          <w:szCs w:val="21"/>
        </w:rPr>
        <w:t xml:space="preserve">Tableau 32 : Principales variables d’environnement du backend</w:t>
      </w:r>
    </w:p>
    <w:p>
      <w:pPr>
        <w:keepNext/>
        <w:spacing w:after="80"/>
      </w:pPr>
      <w:r>
        <w:rPr>
          <w:rFonts w:ascii="Arial" w:cs="Arial" w:eastAsia="Arial" w:hAnsi="Arial"/>
          <w:color w:val="777788"/>
          <w:sz w:val="17"/>
          <w:szCs w:val="17"/>
        </w:rPr>
        <w:t xml:space="preserve">Section : Backend NestJS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2"/>
        <w:gridCol w:w="4011"/>
        <w:gridCol w:w="3343"/>
      </w:tblGrid>
      <w:tr>
        <w:trPr>
          <w:tblHeader/>
        </w:trPr>
        <w:tc>
          <w:tcPr>
            <w:tcW w:type="dxa" w:w="1672"/>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Groupe</w:t>
            </w:r>
          </w:p>
        </w:tc>
        <w:tc>
          <w:tcPr>
            <w:tcW w:type="dxa" w:w="401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Variables</w:t>
            </w:r>
          </w:p>
        </w:tc>
        <w:tc>
          <w:tcPr>
            <w:tcW w:type="dxa" w:w="3343"/>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Valeur ou usage</w:t>
            </w:r>
          </w:p>
        </w:tc>
      </w:tr>
      <w:tr>
        <w:trPr>
          <w:cantSplit/>
        </w:trPr>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Application</w:t>
            </w:r>
          </w:p>
        </w:tc>
        <w:tc>
          <w:tcPr>
            <w:tcW w:type="dxa" w:w="401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NODE_ENV, PORT, CORS_ORIGINS</w:t>
            </w:r>
          </w:p>
        </w:tc>
        <w:tc>
          <w:tcPr>
            <w:tcW w:type="dxa" w:w="334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Mode d’exécution, port d’écoute, origines autorisées.</w:t>
            </w:r>
          </w:p>
        </w:tc>
      </w:tr>
      <w:tr>
        <w:trPr>
          <w:cantSplit/>
        </w:trPr>
        <w:tc>
          <w:tcPr>
            <w:tcW w:type="dxa" w:w="16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Base de données</w:t>
            </w:r>
          </w:p>
        </w:tc>
        <w:tc>
          <w:tcPr>
            <w:tcW w:type="dxa" w:w="401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DATABASE_URL, DIRECT_URL</w:t>
            </w:r>
          </w:p>
        </w:tc>
        <w:tc>
          <w:tcPr>
            <w:tcW w:type="dxa" w:w="334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Connexion de l’application ; connexion directe utilisée par les migrations.</w:t>
            </w:r>
          </w:p>
        </w:tc>
      </w:tr>
      <w:tr>
        <w:trPr>
          <w:cantSplit/>
        </w:trPr>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Cache</w:t>
            </w:r>
          </w:p>
        </w:tc>
        <w:tc>
          <w:tcPr>
            <w:tcW w:type="dxa" w:w="401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REDIS_URL</w:t>
            </w:r>
          </w:p>
        </w:tc>
        <w:tc>
          <w:tcPr>
            <w:tcW w:type="dxa" w:w="334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Adresse de Redis.</w:t>
            </w:r>
          </w:p>
        </w:tc>
      </w:tr>
      <w:tr>
        <w:trPr>
          <w:cantSplit/>
        </w:trPr>
        <w:tc>
          <w:tcPr>
            <w:tcW w:type="dxa" w:w="16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Sécurité</w:t>
            </w:r>
          </w:p>
        </w:tc>
        <w:tc>
          <w:tcPr>
            <w:tcW w:type="dxa" w:w="401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JWT_SECRET, JWT_EXPIRES_IN, OTP_ENCRYPTION_KEY</w:t>
            </w:r>
          </w:p>
        </w:tc>
        <w:tc>
          <w:tcPr>
            <w:tcW w:type="dxa" w:w="334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Signature des jetons d’accès (15 minutes) ; clé de chiffrement du code de démarrage (AES-256-GCM).</w:t>
            </w:r>
          </w:p>
        </w:tc>
      </w:tr>
      <w:tr>
        <w:trPr>
          <w:cantSplit/>
        </w:trPr>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Stockage</w:t>
            </w:r>
          </w:p>
        </w:tc>
        <w:tc>
          <w:tcPr>
            <w:tcW w:type="dxa" w:w="401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SUPABASE_URL, SUPABASE_SERVICE_ROLE_KEY, STORAGE_DRIVER, buckets</w:t>
            </w:r>
          </w:p>
        </w:tc>
        <w:tc>
          <w:tcPr>
            <w:tcW w:type="dxa" w:w="334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Stockage des fichiers (disque local en développement).</w:t>
            </w:r>
          </w:p>
        </w:tc>
      </w:tr>
      <w:tr>
        <w:trPr>
          <w:cantSplit/>
        </w:trPr>
        <w:tc>
          <w:tcPr>
            <w:tcW w:type="dxa" w:w="16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Temps réel et appels</w:t>
            </w:r>
          </w:p>
        </w:tc>
        <w:tc>
          <w:tcPr>
            <w:tcW w:type="dxa" w:w="401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CENTRIFUGO_*, LIVEKIT_*</w:t>
            </w:r>
          </w:p>
        </w:tc>
        <w:tc>
          <w:tcPr>
            <w:tcW w:type="dxa" w:w="334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Adresses et clés des services de temps réel et d’appels.</w:t>
            </w:r>
          </w:p>
        </w:tc>
      </w:tr>
      <w:tr>
        <w:trPr>
          <w:cantSplit/>
        </w:trPr>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Notifications</w:t>
            </w:r>
          </w:p>
        </w:tc>
        <w:tc>
          <w:tcPr>
            <w:tcW w:type="dxa" w:w="401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EXPO_ACCESS_TOKEN, FCM_SERVICE_ACCOUNT_JSON, RESEND_API_KEY, MAIL_FROM</w:t>
            </w:r>
          </w:p>
        </w:tc>
        <w:tc>
          <w:tcPr>
            <w:tcW w:type="dxa" w:w="334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Notifications push et e-mails.</w:t>
            </w:r>
          </w:p>
        </w:tc>
      </w:tr>
      <w:tr>
        <w:trPr>
          <w:cantSplit/>
        </w:trPr>
        <w:tc>
          <w:tcPr>
            <w:tcW w:type="dxa" w:w="167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Règles métier</w:t>
            </w:r>
          </w:p>
        </w:tc>
        <w:tc>
          <w:tcPr>
            <w:tcW w:type="dxa" w:w="401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BOOKING_MIN_NOTICE_HOURS (24), BOOKING_SLOT_STEP_MINUTES (30), BOOKING_BUFFER_MINUTES (15), BOOKING_TRAVEL_BUFFER_MINUTES (30), BOOKING_HOLD_MINUTES (15), PLATFORM_COMMISSION_RATE (0,10), ROOM_MAX_HOURLY_FEE (10 000), CANCELLATION_FREE_NOTICE_HOURS (24)</w:t>
            </w:r>
          </w:p>
        </w:tc>
        <w:tc>
          <w:tcPr>
            <w:tcW w:type="dxa" w:w="334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Valeurs par défaut du code ; modifiables sans toucher au programme.</w:t>
            </w:r>
          </w:p>
        </w:tc>
      </w:tr>
      <w:tr>
        <w:trPr>
          <w:cantSplit/>
        </w:trPr>
        <w:tc>
          <w:tcPr>
            <w:tcW w:type="dxa" w:w="167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Intelligence artificielle</w:t>
            </w:r>
          </w:p>
        </w:tc>
        <w:tc>
          <w:tcPr>
            <w:tcW w:type="dxa" w:w="401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OLLAMA_URL, EMBEDDING_MODEL, EMBEDDING_DIM (768), PADDLEOCR_URL, CV_EXTRACTION_MODEL (qwen2.5:3b), MATCHING_MIN_SIMILARITY (0,65), MATCHING_WEIGHT_*</w:t>
            </w:r>
          </w:p>
        </w:tc>
        <w:tc>
          <w:tcPr>
            <w:tcW w:type="dxa" w:w="334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Modèles utilisés, seuil de similarité et pondérations du classement.</w:t>
            </w:r>
          </w:p>
        </w:tc>
      </w:tr>
    </w:tbl>
    <w:p>
      <w:pPr>
        <w:spacing w:after="160"/>
      </w:pPr>
    </w:p>
    <w:p>
      <w:pPr>
        <w:keepNext/>
        <w:spacing w:after="40" w:before="240"/>
      </w:pPr>
      <w:r>
        <w:rPr>
          <w:rFonts w:ascii="Arial" w:cs="Arial" w:eastAsia="Arial" w:hAnsi="Arial"/>
          <w:b/>
          <w:bCs/>
          <w:color w:val="332E86"/>
          <w:sz w:val="21"/>
          <w:szCs w:val="21"/>
        </w:rPr>
        <w:t xml:space="preserve">Tableau 33 : Couches de l’architecture et responsabilités</w:t>
      </w:r>
    </w:p>
    <w:p>
      <w:pPr>
        <w:keepNext/>
        <w:spacing w:after="80"/>
      </w:pPr>
      <w:r>
        <w:rPr>
          <w:rFonts w:ascii="Arial" w:cs="Arial" w:eastAsia="Arial" w:hAnsi="Arial"/>
          <w:color w:val="777788"/>
          <w:sz w:val="17"/>
          <w:szCs w:val="17"/>
        </w:rPr>
        <w:t xml:space="preserve">Section : Architecture de l'application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0"/>
        <w:gridCol w:w="2451"/>
        <w:gridCol w:w="5015"/>
      </w:tblGrid>
      <w:tr>
        <w:trPr>
          <w:tblHeader/>
        </w:trPr>
        <w:tc>
          <w:tcPr>
            <w:tcW w:type="dxa" w:w="156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Niveau</w:t>
            </w:r>
          </w:p>
        </w:tc>
        <w:tc>
          <w:tcPr>
            <w:tcW w:type="dxa" w:w="245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Couche</w:t>
            </w:r>
          </w:p>
        </w:tc>
        <w:tc>
          <w:tcPr>
            <w:tcW w:type="dxa" w:w="5015"/>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Responsabilité</w:t>
            </w:r>
          </w:p>
        </w:tc>
      </w:tr>
      <w:tr>
        <w:trPr>
          <w:cantSplit/>
        </w:trPr>
        <w:tc>
          <w:tcPr>
            <w:tcW w:type="dxa" w:w="156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1. Présentation</w:t>
            </w:r>
          </w:p>
        </w:tc>
        <w:tc>
          <w:tcPr>
            <w:tcW w:type="dxa" w:w="245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Routes et écrans (Expo Router)</w:t>
            </w:r>
          </w:p>
        </w:tc>
        <w:tc>
          <w:tcPr>
            <w:tcW w:type="dxa" w:w="50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Chaque fichier du dossier des routes est un écran ; les écrans affichent l’interface et appellent les services.</w:t>
            </w:r>
          </w:p>
        </w:tc>
      </w:tr>
      <w:tr>
        <w:trPr>
          <w:cantSplit/>
        </w:trPr>
        <w:tc>
          <w:tcPr>
            <w:tcW w:type="dxa" w:w="156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1. Présentation</w:t>
            </w:r>
          </w:p>
        </w:tc>
        <w:tc>
          <w:tcPr>
            <w:tcW w:type="dxa" w:w="245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Stores (Zustand)</w:t>
            </w:r>
          </w:p>
        </w:tc>
        <w:tc>
          <w:tcPr>
            <w:tcW w:type="dxa" w:w="501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Conservent l’état partagé entre écrans : session, assistant de recherche, assistant de réservation, candidature du tuteur.</w:t>
            </w:r>
          </w:p>
        </w:tc>
      </w:tr>
      <w:tr>
        <w:trPr>
          <w:cantSplit/>
        </w:trPr>
        <w:tc>
          <w:tcPr>
            <w:tcW w:type="dxa" w:w="156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1. Présentation</w:t>
            </w:r>
          </w:p>
        </w:tc>
        <w:tc>
          <w:tcPr>
            <w:tcW w:type="dxa" w:w="245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Back-office web (React, Vite)</w:t>
            </w:r>
          </w:p>
        </w:tc>
        <w:tc>
          <w:tcPr>
            <w:tcW w:type="dxa" w:w="50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Écrans d’administration : un client HTTP unique (jetons, renouvellement automatique), un module d’appels par action de l’administrateur, des écrans sans appel réseau direct.</w:t>
            </w:r>
          </w:p>
        </w:tc>
      </w:tr>
      <w:tr>
        <w:trPr>
          <w:cantSplit/>
        </w:trPr>
        <w:tc>
          <w:tcPr>
            <w:tcW w:type="dxa" w:w="156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1. Présentation</w:t>
            </w:r>
          </w:p>
        </w:tc>
        <w:tc>
          <w:tcPr>
            <w:tcW w:type="dxa" w:w="245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Services et client HTTP</w:t>
            </w:r>
          </w:p>
        </w:tc>
        <w:tc>
          <w:tcPr>
            <w:tcW w:type="dxa" w:w="501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service par domaine (réservation, recherche, offres, etc.) ; le client ajoute le jeton d’accès à chaque requête et le renouvelle automatiquement lorsqu’il expire.</w:t>
            </w:r>
          </w:p>
        </w:tc>
      </w:tr>
      <w:tr>
        <w:trPr>
          <w:cantSplit/>
        </w:trPr>
        <w:tc>
          <w:tcPr>
            <w:tcW w:type="dxa" w:w="156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2. Applicatif</w:t>
            </w:r>
          </w:p>
        </w:tc>
        <w:tc>
          <w:tcPr>
            <w:tcW w:type="dxa" w:w="245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Contrôleurs</w:t>
            </w:r>
          </w:p>
        </w:tc>
        <w:tc>
          <w:tcPr>
            <w:tcW w:type="dxa" w:w="50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Définissent les routes REST, valident les données reçues (DTO) et contrôlent l’identité et les droits de l’appelant.</w:t>
            </w:r>
          </w:p>
        </w:tc>
      </w:tr>
      <w:tr>
        <w:trPr>
          <w:cantSplit/>
        </w:trPr>
        <w:tc>
          <w:tcPr>
            <w:tcW w:type="dxa" w:w="156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2. Applicatif</w:t>
            </w:r>
          </w:p>
        </w:tc>
        <w:tc>
          <w:tcPr>
            <w:tcW w:type="dxa" w:w="245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Services métier</w:t>
            </w:r>
          </w:p>
        </w:tc>
        <w:tc>
          <w:tcPr>
            <w:tcW w:type="dxa" w:w="501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Appliquent les règles de gestion et orchestrent les transactions ; un module par domaine (réservations, tuteurs, salles, etc.).</w:t>
            </w:r>
          </w:p>
        </w:tc>
      </w:tr>
      <w:tr>
        <w:trPr>
          <w:cantSplit/>
        </w:trPr>
        <w:tc>
          <w:tcPr>
            <w:tcW w:type="dxa" w:w="156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2. Applicatif</w:t>
            </w:r>
          </w:p>
        </w:tc>
        <w:tc>
          <w:tcPr>
            <w:tcW w:type="dxa" w:w="245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Règles du domaine</w:t>
            </w:r>
          </w:p>
        </w:tc>
        <w:tc>
          <w:tcPr>
            <w:tcW w:type="dxa" w:w="50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Fonctions pures, sans accès à la base : état d’une réservation, calcul du prix, éligibilité d’un niveau, marges entre séances, floutage des positions.</w:t>
            </w:r>
          </w:p>
        </w:tc>
      </w:tr>
      <w:tr>
        <w:trPr>
          <w:cantSplit/>
        </w:trPr>
        <w:tc>
          <w:tcPr>
            <w:tcW w:type="dxa" w:w="156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2. Applicatif</w:t>
            </w:r>
          </w:p>
        </w:tc>
        <w:tc>
          <w:tcPr>
            <w:tcW w:type="dxa" w:w="245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Dépôts et accès aux données</w:t>
            </w:r>
          </w:p>
        </w:tc>
        <w:tc>
          <w:tcPr>
            <w:tcW w:type="dxa" w:w="501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Requêtes Prisma et SQL brut pour ce que l’ORM ne sait pas exprimer (distances PostGIS, similarité pgvector, verrous).</w:t>
            </w:r>
          </w:p>
        </w:tc>
      </w:tr>
      <w:tr>
        <w:trPr>
          <w:cantSplit/>
        </w:trPr>
        <w:tc>
          <w:tcPr>
            <w:tcW w:type="dxa" w:w="156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2. Applicatif</w:t>
            </w:r>
          </w:p>
        </w:tc>
        <w:tc>
          <w:tcPr>
            <w:tcW w:type="dxa" w:w="245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Ports et adaptateurs</w:t>
            </w:r>
          </w:p>
        </w:tc>
        <w:tc>
          <w:tcPr>
            <w:tcW w:type="dxa" w:w="50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Interfaces vers l’extérieur (stockage, notifications push, temps réel, appels) ; un fournisseur peut être remplacé sans modifier les services.</w:t>
            </w:r>
          </w:p>
        </w:tc>
      </w:tr>
      <w:tr>
        <w:trPr>
          <w:cantSplit/>
        </w:trPr>
        <w:tc>
          <w:tcPr>
            <w:tcW w:type="dxa" w:w="156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2. Applicatif</w:t>
            </w:r>
          </w:p>
        </w:tc>
        <w:tc>
          <w:tcPr>
            <w:tcW w:type="dxa" w:w="245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Outbox</w:t>
            </w:r>
          </w:p>
        </w:tc>
        <w:tc>
          <w:tcPr>
            <w:tcW w:type="dxa" w:w="501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Les événements à diffuser (notifications, invalidation de cache) sont écrits dans la même transaction que la modification qu’ils annoncent, puis traités par un relais.</w:t>
            </w:r>
          </w:p>
        </w:tc>
      </w:tr>
      <w:tr>
        <w:trPr>
          <w:cantSplit/>
        </w:trPr>
        <w:tc>
          <w:tcPr>
            <w:tcW w:type="dxa" w:w="156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3. Données</w:t>
            </w:r>
          </w:p>
        </w:tc>
        <w:tc>
          <w:tcPr>
            <w:tcW w:type="dxa" w:w="245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PostgreSQL, Redis, stockage de fichiers</w:t>
            </w:r>
          </w:p>
        </w:tc>
        <w:tc>
          <w:tcPr>
            <w:tcW w:type="dxa" w:w="501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Persistance des données, cache et limitation de débit, fichiers (documents, voix, photos) lus par URL signée.</w:t>
            </w:r>
          </w:p>
        </w:tc>
      </w:tr>
    </w:tbl>
    <w:p>
      <w:pPr>
        <w:spacing w:after="160"/>
      </w:pPr>
    </w:p>
    <w:p>
      <w:pPr>
        <w:keepNext/>
        <w:spacing w:after="40" w:before="240"/>
      </w:pPr>
      <w:r>
        <w:rPr>
          <w:rFonts w:ascii="Arial" w:cs="Arial" w:eastAsia="Arial" w:hAnsi="Arial"/>
          <w:b/>
          <w:bCs/>
          <w:color w:val="332E86"/>
          <w:sz w:val="21"/>
          <w:szCs w:val="21"/>
        </w:rPr>
        <w:t xml:space="preserve">Tableau 34 : Migrations de la base de données</w:t>
      </w:r>
    </w:p>
    <w:p>
      <w:pPr>
        <w:keepNext/>
        <w:spacing w:after="80"/>
      </w:pPr>
      <w:r>
        <w:rPr>
          <w:rFonts w:ascii="Arial" w:cs="Arial" w:eastAsia="Arial" w:hAnsi="Arial"/>
          <w:color w:val="777788"/>
          <w:sz w:val="17"/>
          <w:szCs w:val="17"/>
        </w:rPr>
        <w:t xml:space="preserve">Section : Création de la base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20"/>
        <w:gridCol w:w="5906"/>
      </w:tblGrid>
      <w:tr>
        <w:trPr>
          <w:tblHeader/>
        </w:trPr>
        <w:tc>
          <w:tcPr>
            <w:tcW w:type="dxa" w:w="312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Migration</w:t>
            </w:r>
          </w:p>
        </w:tc>
        <w:tc>
          <w:tcPr>
            <w:tcW w:type="dxa" w:w="590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Objet</w:t>
            </w:r>
          </w:p>
        </w:tc>
      </w:tr>
      <w:tr>
        <w:trPr>
          <w:cantSplit/>
        </w:trPr>
        <w:tc>
          <w:tcPr>
            <w:tcW w:type="dxa" w:w="312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init</w:t>
            </w:r>
          </w:p>
        </w:tc>
        <w:tc>
          <w:tcPr>
            <w:tcW w:type="dxa" w:w="590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Schéma initial : comptes, bénéficiaires, tuteurs, offres, lieux, disponibilités, réservations, conversations, notifications, outbox.</w:t>
            </w:r>
          </w:p>
        </w:tc>
      </w:tr>
      <w:tr>
        <w:trPr>
          <w:cantSplit/>
        </w:trPr>
        <w:tc>
          <w:tcPr>
            <w:tcW w:type="dxa" w:w="312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add_booking_requester_note</w:t>
            </w:r>
          </w:p>
        </w:tc>
        <w:tc>
          <w:tcPr>
            <w:tcW w:type="dxa" w:w="590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Précision du besoin saisie par le demandeur à la réservation.</w:t>
            </w:r>
          </w:p>
        </w:tc>
      </w:tr>
      <w:tr>
        <w:trPr>
          <w:cantSplit/>
        </w:trPr>
        <w:tc>
          <w:tcPr>
            <w:tcW w:type="dxa" w:w="312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add_tutor_application_details</w:t>
            </w:r>
          </w:p>
        </w:tc>
        <w:tc>
          <w:tcPr>
            <w:tcW w:type="dxa" w:w="590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Informations complémentaires de la candidature du tuteur.</w:t>
            </w:r>
          </w:p>
        </w:tc>
      </w:tr>
      <w:tr>
        <w:trPr>
          <w:cantSplit/>
        </w:trPr>
        <w:tc>
          <w:tcPr>
            <w:tcW w:type="dxa" w:w="312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postgis_and_integrity_constraints</w:t>
            </w:r>
          </w:p>
        </w:tc>
        <w:tc>
          <w:tcPr>
            <w:tcW w:type="dxa" w:w="590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Extensions PostGIS et btree_gist, colonne géographique générée, contraintes d’intégrité.</w:t>
            </w:r>
          </w:p>
        </w:tc>
      </w:tr>
      <w:tr>
        <w:trPr>
          <w:cantSplit/>
        </w:trPr>
        <w:tc>
          <w:tcPr>
            <w:tcW w:type="dxa" w:w="312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subject_levels_and_custom_skills</w:t>
            </w:r>
          </w:p>
        </w:tc>
        <w:tc>
          <w:tcPr>
            <w:tcW w:type="dxa" w:w="590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Niveaux par matière et compétences saisies librement.</w:t>
            </w:r>
          </w:p>
        </w:tc>
      </w:tr>
      <w:tr>
        <w:trPr>
          <w:cantSplit/>
        </w:trPr>
        <w:tc>
          <w:tcPr>
            <w:tcW w:type="dxa" w:w="312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tutor_gender</w:t>
            </w:r>
          </w:p>
        </w:tc>
        <w:tc>
          <w:tcPr>
            <w:tcW w:type="dxa" w:w="590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Genre du tuteur.</w:t>
            </w:r>
          </w:p>
        </w:tc>
      </w:tr>
      <w:tr>
        <w:trPr>
          <w:cantSplit/>
        </w:trPr>
        <w:tc>
          <w:tcPr>
            <w:tcW w:type="dxa" w:w="312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lesson_alarm</w:t>
            </w:r>
          </w:p>
        </w:tc>
        <w:tc>
          <w:tcPr>
            <w:tcW w:type="dxa" w:w="590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Alarme de rappel avant une séance.</w:t>
            </w:r>
          </w:p>
        </w:tc>
      </w:tr>
      <w:tr>
        <w:trPr>
          <w:cantSplit/>
        </w:trPr>
        <w:tc>
          <w:tcPr>
            <w:tcW w:type="dxa" w:w="312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semantic_matching_foundation</w:t>
            </w:r>
          </w:p>
        </w:tc>
        <w:tc>
          <w:tcPr>
            <w:tcW w:type="dxa" w:w="590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Extension pgvector, fragments de recherche, historique des recherches, échelle académique, équivalences de diplôme.</w:t>
            </w:r>
          </w:p>
        </w:tc>
      </w:tr>
      <w:tr>
        <w:trPr>
          <w:cantSplit/>
        </w:trPr>
        <w:tc>
          <w:tcPr>
            <w:tcW w:type="dxa" w:w="312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academic_tracks_funnel</w:t>
            </w:r>
          </w:p>
        </w:tc>
        <w:tc>
          <w:tcPr>
            <w:tcW w:type="dxa" w:w="590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Filières (séries et mentions) pour l’entonnoir de recherche.</w:t>
            </w:r>
          </w:p>
        </w:tc>
      </w:tr>
      <w:tr>
        <w:trPr>
          <w:cantSplit/>
        </w:trPr>
        <w:tc>
          <w:tcPr>
            <w:tcW w:type="dxa" w:w="312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series_per_level</w:t>
            </w:r>
          </w:p>
        </w:tc>
        <w:tc>
          <w:tcPr>
            <w:tcW w:type="dxa" w:w="590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Séries rattachées aux niveaux du lycée.</w:t>
            </w:r>
          </w:p>
        </w:tc>
      </w:tr>
      <w:tr>
        <w:trPr>
          <w:cantSplit/>
        </w:trPr>
        <w:tc>
          <w:tcPr>
            <w:tcW w:type="dxa" w:w="312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experience_types</w:t>
            </w:r>
          </w:p>
        </w:tc>
        <w:tc>
          <w:tcPr>
            <w:tcW w:type="dxa" w:w="590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Types d’expérience des tuteurs.</w:t>
            </w:r>
          </w:p>
        </w:tc>
      </w:tr>
      <w:tr>
        <w:trPr>
          <w:cantSplit/>
        </w:trPr>
        <w:tc>
          <w:tcPr>
            <w:tcW w:type="dxa" w:w="312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cv_import, cv_import_progress</w:t>
            </w:r>
          </w:p>
        </w:tc>
        <w:tc>
          <w:tcPr>
            <w:tcW w:type="dxa" w:w="590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Import de CV et suivi de ses étapes.</w:t>
            </w:r>
          </w:p>
        </w:tc>
      </w:tr>
      <w:tr>
        <w:trPr>
          <w:cantSplit/>
        </w:trPr>
        <w:tc>
          <w:tcPr>
            <w:tcW w:type="dxa" w:w="312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partner_rooms</w:t>
            </w:r>
          </w:p>
        </w:tc>
        <w:tc>
          <w:tcPr>
            <w:tcW w:type="dxa" w:w="590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Structures partenaires, salles, horaires, fermetures, abonnements.</w:t>
            </w:r>
          </w:p>
        </w:tc>
      </w:tr>
      <w:tr>
        <w:trPr>
          <w:cantSplit/>
        </w:trPr>
        <w:tc>
          <w:tcPr>
            <w:tcW w:type="dxa" w:w="312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booking_pricing_holds</w:t>
            </w:r>
          </w:p>
        </w:tc>
        <w:tc>
          <w:tcPr>
            <w:tcW w:type="dxa" w:w="590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Détail du prix et blocage temporaire des créneaux.</w:t>
            </w:r>
          </w:p>
        </w:tc>
      </w:tr>
      <w:tr>
        <w:trPr>
          <w:cantSplit/>
        </w:trPr>
        <w:tc>
          <w:tcPr>
            <w:tcW w:type="dxa" w:w="312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room_reviews_venue_statuses</w:t>
            </w:r>
          </w:p>
        </w:tc>
        <w:tc>
          <w:tcPr>
            <w:tcW w:type="dxa" w:w="590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Avis sur les salles et statuts supplémentaires des structures.</w:t>
            </w:r>
          </w:p>
        </w:tc>
      </w:tr>
      <w:tr>
        <w:trPr>
          <w:cantSplit/>
        </w:trPr>
        <w:tc>
          <w:tcPr>
            <w:tcW w:type="dxa" w:w="312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search_preferences_room_radius</w:t>
            </w:r>
          </w:p>
        </w:tc>
        <w:tc>
          <w:tcPr>
            <w:tcW w:type="dxa" w:w="590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Préférences de recherche du bénéficiaire et rayon d’accueil des salles.</w:t>
            </w:r>
          </w:p>
        </w:tc>
      </w:tr>
    </w:tbl>
    <w:p>
      <w:pPr>
        <w:spacing w:after="160"/>
      </w:pPr>
    </w:p>
    <w:p>
      <w:pPr>
        <w:keepNext/>
        <w:spacing w:after="40" w:before="240"/>
      </w:pPr>
      <w:r>
        <w:rPr>
          <w:rFonts w:ascii="Arial" w:cs="Arial" w:eastAsia="Arial" w:hAnsi="Arial"/>
          <w:b/>
          <w:bCs/>
          <w:color w:val="332E86"/>
          <w:sz w:val="21"/>
          <w:szCs w:val="21"/>
        </w:rPr>
        <w:t xml:space="preserve">Tableau 35 : Contraintes d’intégrité et index écrits en SQL</w:t>
      </w:r>
    </w:p>
    <w:p>
      <w:pPr>
        <w:keepNext/>
        <w:spacing w:after="80"/>
      </w:pPr>
      <w:r>
        <w:rPr>
          <w:rFonts w:ascii="Arial" w:cs="Arial" w:eastAsia="Arial" w:hAnsi="Arial"/>
          <w:color w:val="777788"/>
          <w:sz w:val="17"/>
          <w:szCs w:val="17"/>
        </w:rPr>
        <w:t xml:space="preserve">Section : Création de la base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55"/>
        <w:gridCol w:w="5571"/>
      </w:tblGrid>
      <w:tr>
        <w:trPr>
          <w:tblHeader/>
        </w:trPr>
        <w:tc>
          <w:tcPr>
            <w:tcW w:type="dxa" w:w="3455"/>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Élément</w:t>
            </w:r>
          </w:p>
        </w:tc>
        <w:tc>
          <w:tcPr>
            <w:tcW w:type="dxa" w:w="5571"/>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Garantie</w:t>
            </w:r>
          </w:p>
        </w:tc>
      </w:tr>
      <w:tr>
        <w:trPr>
          <w:cantSplit/>
        </w:trPr>
        <w:tc>
          <w:tcPr>
            <w:tcW w:type="dxa" w:w="345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bookings_no_overlap (contrainte d’exclusion)</w:t>
            </w:r>
          </w:p>
        </w:tc>
        <w:tc>
          <w:tcPr>
            <w:tcW w:type="dxa" w:w="557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même tuteur ne peut avoir deux réservations confirmées ou en cours qui se chevauchent dans le temps.</w:t>
            </w:r>
          </w:p>
        </w:tc>
      </w:tr>
      <w:tr>
        <w:trPr>
          <w:cantSplit/>
        </w:trPr>
        <w:tc>
          <w:tcPr>
            <w:tcW w:type="dxa" w:w="345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bookings_time_order</w:t>
            </w:r>
          </w:p>
        </w:tc>
        <w:tc>
          <w:tcPr>
            <w:tcW w:type="dxa" w:w="557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La fin d’une réservation est postérieure à son début.</w:t>
            </w:r>
          </w:p>
        </w:tc>
      </w:tr>
      <w:tr>
        <w:trPr>
          <w:cantSplit/>
        </w:trPr>
        <w:tc>
          <w:tcPr>
            <w:tcW w:type="dxa" w:w="345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bookings_room_mode</w:t>
            </w:r>
          </w:p>
        </w:tc>
        <w:tc>
          <w:tcPr>
            <w:tcW w:type="dxa" w:w="557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Une réservation en salle partenaire désigne obligatoirement une salle.</w:t>
            </w:r>
          </w:p>
        </w:tc>
      </w:tr>
      <w:tr>
        <w:trPr>
          <w:cantSplit/>
        </w:trPr>
        <w:tc>
          <w:tcPr>
            <w:tcW w:type="dxa" w:w="345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reviews_rating_range</w:t>
            </w:r>
          </w:p>
        </w:tc>
        <w:tc>
          <w:tcPr>
            <w:tcW w:type="dxa" w:w="557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La note d’un avis est comprise entre 1 et 5.</w:t>
            </w:r>
          </w:p>
        </w:tc>
      </w:tr>
      <w:tr>
        <w:trPr>
          <w:cantSplit/>
        </w:trPr>
        <w:tc>
          <w:tcPr>
            <w:tcW w:type="dxa" w:w="345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availabilities_dow, _fmt, _order</w:t>
            </w:r>
          </w:p>
        </w:tc>
        <w:tc>
          <w:tcPr>
            <w:tcW w:type="dxa" w:w="557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Le jour est compris entre 0 et 6, les heures respectent le format hh:mm et la fin est postérieure au début.</w:t>
            </w:r>
          </w:p>
        </w:tc>
      </w:tr>
      <w:tr>
        <w:trPr>
          <w:cantSplit/>
        </w:trPr>
        <w:tc>
          <w:tcPr>
            <w:tcW w:type="dxa" w:w="345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tutor_applications_one_pending (index unique partiel)</w:t>
            </w:r>
          </w:p>
        </w:tc>
        <w:tc>
          <w:tcPr>
            <w:tcW w:type="dxa" w:w="557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 tuteur ne peut avoir qu’une seule candidature en attente.</w:t>
            </w:r>
          </w:p>
        </w:tc>
      </w:tr>
      <w:tr>
        <w:trPr>
          <w:cantSplit/>
        </w:trPr>
        <w:tc>
          <w:tcPr>
            <w:tcW w:type="dxa" w:w="345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places.location (colonne générée) et index gist</w:t>
            </w:r>
          </w:p>
        </w:tc>
        <w:tc>
          <w:tcPr>
            <w:tcW w:type="dxa" w:w="5571"/>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La position géographique est calculée à partir de la latitude et de la longitude ; l’index accélère les recherches de proximité.</w:t>
            </w:r>
          </w:p>
        </w:tc>
      </w:tr>
      <w:tr>
        <w:trPr>
          <w:cantSplit/>
        </w:trPr>
        <w:tc>
          <w:tcPr>
            <w:tcW w:type="dxa" w:w="345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tutor_search_chunks.embedding (vector 768)</w:t>
            </w:r>
          </w:p>
        </w:tc>
        <w:tc>
          <w:tcPr>
            <w:tcW w:type="dxa" w:w="5571"/>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Stockage des vecteurs de recherche sémantique.</w:t>
            </w:r>
          </w:p>
        </w:tc>
      </w:tr>
    </w:tbl>
    <w:p>
      <w:pPr>
        <w:spacing w:after="160"/>
      </w:pPr>
    </w:p>
    <w:p>
      <w:pPr>
        <w:keepNext/>
        <w:spacing w:after="40" w:before="240"/>
      </w:pPr>
      <w:r>
        <w:rPr>
          <w:rFonts w:ascii="Arial" w:cs="Arial" w:eastAsia="Arial" w:hAnsi="Arial"/>
          <w:b/>
          <w:bCs/>
          <w:color w:val="332E86"/>
          <w:sz w:val="21"/>
          <w:szCs w:val="21"/>
        </w:rPr>
        <w:t xml:space="preserve">Tableau 36 : Suites de tests</w:t>
      </w:r>
    </w:p>
    <w:p>
      <w:pPr>
        <w:keepNext/>
        <w:spacing w:after="80"/>
      </w:pPr>
      <w:r>
        <w:rPr>
          <w:rFonts w:ascii="Arial" w:cs="Arial" w:eastAsia="Arial" w:hAnsi="Arial"/>
          <w:color w:val="777788"/>
          <w:sz w:val="17"/>
          <w:szCs w:val="17"/>
        </w:rPr>
        <w:t xml:space="preserve">Section :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340"/>
        <w:gridCol w:w="4680"/>
      </w:tblGrid>
      <w:tr>
        <w:trPr>
          <w:tblHeader/>
        </w:trPr>
        <w:tc>
          <w:tcPr>
            <w:tcW w:type="dxa" w:w="200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Suite</w:t>
            </w:r>
          </w:p>
        </w:tc>
        <w:tc>
          <w:tcPr>
            <w:tcW w:type="dxa" w:w="234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Commande</w:t>
            </w:r>
          </w:p>
        </w:tc>
        <w:tc>
          <w:tcPr>
            <w:tcW w:type="dxa" w:w="468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Contenu</w:t>
            </w:r>
          </w:p>
        </w:tc>
      </w:tr>
      <w:tr>
        <w:trPr>
          <w:cantSplit/>
        </w:trPr>
        <w:tc>
          <w:tcPr>
            <w:tcW w:type="dxa" w:w="200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Tests unitaires</w:t>
            </w:r>
          </w:p>
        </w:tc>
        <w:tc>
          <w:tcPr>
            <w:tcW w:type="dxa" w:w="234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npm test</w:t>
            </w:r>
          </w:p>
        </w:tc>
        <w:tc>
          <w:tcPr>
            <w:tcW w:type="dxa" w:w="468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Règles du domaine, validation des données, import de CV, classement : sans base de données.</w:t>
            </w:r>
          </w:p>
        </w:tc>
      </w:tr>
      <w:tr>
        <w:trPr>
          <w:cantSplit/>
        </w:trPr>
        <w:tc>
          <w:tcPr>
            <w:tcW w:type="dxa" w:w="200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Tests d’intégration</w:t>
            </w:r>
          </w:p>
        </w:tc>
        <w:tc>
          <w:tcPr>
            <w:tcW w:type="dxa" w:w="234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npm run test:int</w:t>
            </w:r>
          </w:p>
        </w:tc>
        <w:tc>
          <w:tcPr>
            <w:tcW w:type="dxa" w:w="468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Parcours sur base jetable : matching, indexation, salles partenaires, prix et blocages, avis.</w:t>
            </w:r>
          </w:p>
        </w:tc>
      </w:tr>
      <w:tr>
        <w:trPr>
          <w:cantSplit/>
        </w:trPr>
        <w:tc>
          <w:tcPr>
            <w:tcW w:type="dxa" w:w="200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Évaluation du matching</w:t>
            </w:r>
          </w:p>
        </w:tc>
        <w:tc>
          <w:tcPr>
            <w:tcW w:type="dxa" w:w="234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npm run matching:eval</w:t>
            </w:r>
          </w:p>
        </w:tc>
        <w:tc>
          <w:tcPr>
            <w:tcW w:type="dxa" w:w="468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Jeu de 41 demandes et 29 tuteurs ; rapport de pertinence (rappel, nDCG) dans eval/report.md.</w:t>
            </w:r>
          </w:p>
        </w:tc>
      </w:tr>
      <w:tr>
        <w:trPr>
          <w:cantSplit/>
        </w:trPr>
        <w:tc>
          <w:tcPr>
            <w:tcW w:type="dxa" w:w="200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Scénarios de bout en bout</w:t>
            </w:r>
          </w:p>
        </w:tc>
        <w:tc>
          <w:tcPr>
            <w:tcW w:type="dxa" w:w="234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scripts/*-e2e.ts</w:t>
            </w:r>
          </w:p>
        </w:tc>
        <w:tc>
          <w:tcPr>
            <w:tcW w:type="dxa" w:w="468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Parcours complets de salles partenaires, de services et de temps réel via l’API.</w:t>
            </w:r>
          </w:p>
        </w:tc>
      </w:tr>
      <w:tr>
        <w:trPr>
          <w:cantSplit/>
        </w:trPr>
        <w:tc>
          <w:tcPr>
            <w:tcW w:type="dxa" w:w="2006"/>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Scénario du back-office</w:t>
            </w:r>
          </w:p>
        </w:tc>
        <w:tc>
          <w:tcPr>
            <w:tcW w:type="dxa" w:w="234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npx tsx scripts/admin-e2e.ts</w:t>
            </w:r>
          </w:p>
        </w:tc>
        <w:tc>
          <w:tcPr>
            <w:tcW w:type="dxa" w:w="468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Parcours de l’administrateur via le client du back-office : 49 vérifications.</w:t>
            </w:r>
          </w:p>
        </w:tc>
      </w:tr>
    </w:tbl>
    <w:p>
      <w:pPr>
        <w:spacing w:after="160"/>
      </w:pPr>
    </w:p>
    <w:p>
      <w:pPr>
        <w:pStyle w:val="Heading1"/>
        <w:spacing w:after="160" w:before="360"/>
      </w:pPr>
      <w:r>
        <w:rPr>
          <w:rFonts w:ascii="Arial" w:cs="Arial" w:eastAsia="Arial" w:hAnsi="Arial"/>
          <w:b/>
          <w:bCs/>
          <w:color w:val="332E86"/>
          <w:sz w:val="30"/>
          <w:szCs w:val="30"/>
        </w:rPr>
        <w:t xml:space="preserve">Tableaux sans numéro</w:t>
      </w:r>
    </w:p>
    <w:p>
      <w:pPr>
        <w:keepNext/>
        <w:spacing w:after="40" w:before="240"/>
      </w:pPr>
      <w:r>
        <w:rPr>
          <w:rFonts w:ascii="Arial" w:cs="Arial" w:eastAsia="Arial" w:hAnsi="Arial"/>
          <w:b/>
          <w:bCs/>
          <w:color w:val="332E86"/>
          <w:sz w:val="21"/>
          <w:szCs w:val="21"/>
        </w:rPr>
        <w:t xml:space="preserve">Liste des abréviations</w:t>
      </w:r>
    </w:p>
    <w:p>
      <w:pPr>
        <w:keepNext/>
        <w:spacing w:after="80"/>
      </w:pPr>
      <w:r>
        <w:rPr>
          <w:rFonts w:ascii="Arial" w:cs="Arial" w:eastAsia="Arial" w:hAnsi="Arial"/>
          <w:color w:val="777788"/>
          <w:sz w:val="17"/>
          <w:szCs w:val="17"/>
        </w:rPr>
        <w:t xml:space="preserve">Section : Pages liminaires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2"/>
        <w:gridCol w:w="7624"/>
      </w:tblGrid>
      <w:tr>
        <w:trPr>
          <w:tblHeader/>
        </w:trPr>
        <w:tc>
          <w:tcPr>
            <w:tcW w:type="dxa" w:w="1402"/>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Sigle</w:t>
            </w:r>
          </w:p>
        </w:tc>
        <w:tc>
          <w:tcPr>
            <w:tcW w:type="dxa" w:w="7624"/>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Signification</w:t>
            </w:r>
          </w:p>
        </w:tc>
      </w:tr>
      <w:tr>
        <w:trPr>
          <w:cantSplit/>
        </w:trPr>
        <w:tc>
          <w:tcPr>
            <w:tcW w:type="dxa" w:w="14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2TUP</w:t>
            </w:r>
          </w:p>
        </w:tc>
        <w:tc>
          <w:tcPr>
            <w:tcW w:type="dxa" w:w="762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2-Track Unified Process</w:t>
            </w:r>
          </w:p>
        </w:tc>
      </w:tr>
      <w:tr>
        <w:trPr>
          <w:cantSplit/>
        </w:trPr>
        <w:tc>
          <w:tcPr>
            <w:tcW w:type="dxa" w:w="14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API</w:t>
            </w:r>
          </w:p>
        </w:tc>
        <w:tc>
          <w:tcPr>
            <w:tcW w:type="dxa" w:w="762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Application Programming Interface</w:t>
            </w:r>
          </w:p>
        </w:tc>
      </w:tr>
      <w:tr>
        <w:trPr>
          <w:cantSplit/>
        </w:trPr>
        <w:tc>
          <w:tcPr>
            <w:tcW w:type="dxa" w:w="14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ASI</w:t>
            </w:r>
          </w:p>
        </w:tc>
        <w:tc>
          <w:tcPr>
            <w:tcW w:type="dxa" w:w="762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Audit des Systèmes d'Information</w:t>
            </w:r>
          </w:p>
        </w:tc>
      </w:tr>
      <w:tr>
        <w:trPr>
          <w:cantSplit/>
        </w:trPr>
        <w:tc>
          <w:tcPr>
            <w:tcW w:type="dxa" w:w="14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CV</w:t>
            </w:r>
          </w:p>
        </w:tc>
        <w:tc>
          <w:tcPr>
            <w:tcW w:type="dxa" w:w="762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Curriculum Vitae</w:t>
            </w:r>
          </w:p>
        </w:tc>
      </w:tr>
      <w:tr>
        <w:trPr>
          <w:cantSplit/>
        </w:trPr>
        <w:tc>
          <w:tcPr>
            <w:tcW w:type="dxa" w:w="14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DTO</w:t>
            </w:r>
          </w:p>
        </w:tc>
        <w:tc>
          <w:tcPr>
            <w:tcW w:type="dxa" w:w="762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Data Transfer Object</w:t>
            </w:r>
          </w:p>
        </w:tc>
      </w:tr>
      <w:tr>
        <w:trPr>
          <w:cantSplit/>
        </w:trPr>
        <w:tc>
          <w:tcPr>
            <w:tcW w:type="dxa" w:w="14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ENI</w:t>
            </w:r>
          </w:p>
        </w:tc>
        <w:tc>
          <w:tcPr>
            <w:tcW w:type="dxa" w:w="762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École Nationale d'Informatique</w:t>
            </w:r>
          </w:p>
        </w:tc>
      </w:tr>
      <w:tr>
        <w:trPr>
          <w:cantSplit/>
        </w:trPr>
        <w:tc>
          <w:tcPr>
            <w:tcW w:type="dxa" w:w="14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FCM</w:t>
            </w:r>
          </w:p>
        </w:tc>
        <w:tc>
          <w:tcPr>
            <w:tcW w:type="dxa" w:w="762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Firebase Cloud Messaging</w:t>
            </w:r>
          </w:p>
        </w:tc>
      </w:tr>
      <w:tr>
        <w:trPr>
          <w:cantSplit/>
        </w:trPr>
        <w:tc>
          <w:tcPr>
            <w:tcW w:type="dxa" w:w="14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GID</w:t>
            </w:r>
          </w:p>
        </w:tc>
        <w:tc>
          <w:tcPr>
            <w:tcW w:type="dxa" w:w="762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Gouvernance et Ingénierie de Données</w:t>
            </w:r>
          </w:p>
        </w:tc>
      </w:tr>
      <w:tr>
        <w:trPr>
          <w:cantSplit/>
        </w:trPr>
        <w:tc>
          <w:tcPr>
            <w:tcW w:type="dxa" w:w="14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IHM</w:t>
            </w:r>
          </w:p>
        </w:tc>
        <w:tc>
          <w:tcPr>
            <w:tcW w:type="dxa" w:w="762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Interface Homme-Machine</w:t>
            </w:r>
          </w:p>
        </w:tc>
      </w:tr>
      <w:tr>
        <w:trPr>
          <w:cantSplit/>
        </w:trPr>
        <w:tc>
          <w:tcPr>
            <w:tcW w:type="dxa" w:w="14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ILSI</w:t>
            </w:r>
          </w:p>
        </w:tc>
        <w:tc>
          <w:tcPr>
            <w:tcW w:type="dxa" w:w="762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Ingénierie Logicielle et Systèmes d'Information</w:t>
            </w:r>
          </w:p>
        </w:tc>
      </w:tr>
      <w:tr>
        <w:trPr>
          <w:cantSplit/>
        </w:trPr>
        <w:tc>
          <w:tcPr>
            <w:tcW w:type="dxa" w:w="14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ISII</w:t>
            </w:r>
          </w:p>
        </w:tc>
        <w:tc>
          <w:tcPr>
            <w:tcW w:type="dxa" w:w="762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Ingénierie des Systèmes d'Information Intégrés</w:t>
            </w:r>
          </w:p>
        </w:tc>
      </w:tr>
      <w:tr>
        <w:trPr>
          <w:cantSplit/>
        </w:trPr>
        <w:tc>
          <w:tcPr>
            <w:tcW w:type="dxa" w:w="14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ISRI</w:t>
            </w:r>
          </w:p>
        </w:tc>
        <w:tc>
          <w:tcPr>
            <w:tcW w:type="dxa" w:w="762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Ingénierie des Systèmes et Réseaux Informatiques</w:t>
            </w:r>
          </w:p>
        </w:tc>
      </w:tr>
      <w:tr>
        <w:trPr>
          <w:cantSplit/>
        </w:trPr>
        <w:tc>
          <w:tcPr>
            <w:tcW w:type="dxa" w:w="14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JH</w:t>
            </w:r>
          </w:p>
        </w:tc>
        <w:tc>
          <w:tcPr>
            <w:tcW w:type="dxa" w:w="762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Jours-Homme</w:t>
            </w:r>
          </w:p>
        </w:tc>
      </w:tr>
      <w:tr>
        <w:trPr>
          <w:cantSplit/>
        </w:trPr>
        <w:tc>
          <w:tcPr>
            <w:tcW w:type="dxa" w:w="14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JWT</w:t>
            </w:r>
          </w:p>
        </w:tc>
        <w:tc>
          <w:tcPr>
            <w:tcW w:type="dxa" w:w="762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JSON Web Token</w:t>
            </w:r>
          </w:p>
        </w:tc>
      </w:tr>
      <w:tr>
        <w:trPr>
          <w:cantSplit/>
        </w:trPr>
        <w:tc>
          <w:tcPr>
            <w:tcW w:type="dxa" w:w="14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LLM</w:t>
            </w:r>
          </w:p>
        </w:tc>
        <w:tc>
          <w:tcPr>
            <w:tcW w:type="dxa" w:w="762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Large Language Model</w:t>
            </w:r>
          </w:p>
        </w:tc>
      </w:tr>
      <w:tr>
        <w:trPr>
          <w:cantSplit/>
        </w:trPr>
        <w:tc>
          <w:tcPr>
            <w:tcW w:type="dxa" w:w="14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LMD</w:t>
            </w:r>
          </w:p>
        </w:tc>
        <w:tc>
          <w:tcPr>
            <w:tcW w:type="dxa" w:w="762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Licence – Master – Doctorat</w:t>
            </w:r>
          </w:p>
        </w:tc>
      </w:tr>
      <w:tr>
        <w:trPr>
          <w:cantSplit/>
        </w:trPr>
        <w:tc>
          <w:tcPr>
            <w:tcW w:type="dxa" w:w="14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MDAT</w:t>
            </w:r>
          </w:p>
        </w:tc>
        <w:tc>
          <w:tcPr>
            <w:tcW w:type="dxa" w:w="762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Ministère du Développement et de l'Aménagement du Territoire</w:t>
            </w:r>
          </w:p>
        </w:tc>
      </w:tr>
      <w:tr>
        <w:trPr>
          <w:cantSplit/>
        </w:trPr>
        <w:tc>
          <w:tcPr>
            <w:tcW w:type="dxa" w:w="14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MDi</w:t>
            </w:r>
          </w:p>
        </w:tc>
        <w:tc>
          <w:tcPr>
            <w:tcW w:type="dxa" w:w="762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Métiers du Digital</w:t>
            </w:r>
          </w:p>
        </w:tc>
      </w:tr>
      <w:tr>
        <w:trPr>
          <w:cantSplit/>
        </w:trPr>
        <w:tc>
          <w:tcPr>
            <w:tcW w:type="dxa" w:w="14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NIF</w:t>
            </w:r>
          </w:p>
        </w:tc>
        <w:tc>
          <w:tcPr>
            <w:tcW w:type="dxa" w:w="762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Numéro d'Identification Fiscale</w:t>
            </w:r>
          </w:p>
        </w:tc>
      </w:tr>
      <w:tr>
        <w:trPr>
          <w:cantSplit/>
        </w:trPr>
        <w:tc>
          <w:tcPr>
            <w:tcW w:type="dxa" w:w="14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OCC</w:t>
            </w:r>
          </w:p>
        </w:tc>
        <w:tc>
          <w:tcPr>
            <w:tcW w:type="dxa" w:w="762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Objets Connectés et Cybersécurité</w:t>
            </w:r>
          </w:p>
        </w:tc>
      </w:tr>
      <w:tr>
        <w:trPr>
          <w:cantSplit/>
        </w:trPr>
        <w:tc>
          <w:tcPr>
            <w:tcW w:type="dxa" w:w="14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OCR</w:t>
            </w:r>
          </w:p>
        </w:tc>
        <w:tc>
          <w:tcPr>
            <w:tcW w:type="dxa" w:w="762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Optical Character Recognition (Reconnaissance Optique de Caractères)</w:t>
            </w:r>
          </w:p>
        </w:tc>
      </w:tr>
      <w:tr>
        <w:trPr>
          <w:cantSplit/>
        </w:trPr>
        <w:tc>
          <w:tcPr>
            <w:tcW w:type="dxa" w:w="14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OMG</w:t>
            </w:r>
          </w:p>
        </w:tc>
        <w:tc>
          <w:tcPr>
            <w:tcW w:type="dxa" w:w="762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Object Management Group</w:t>
            </w:r>
          </w:p>
        </w:tc>
      </w:tr>
      <w:tr>
        <w:trPr>
          <w:cantSplit/>
        </w:trPr>
        <w:tc>
          <w:tcPr>
            <w:tcW w:type="dxa" w:w="14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OTP</w:t>
            </w:r>
          </w:p>
        </w:tc>
        <w:tc>
          <w:tcPr>
            <w:tcW w:type="dxa" w:w="762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One-Time Password (Mot de passe à usage unique)</w:t>
            </w:r>
          </w:p>
        </w:tc>
      </w:tr>
      <w:tr>
        <w:trPr>
          <w:cantSplit/>
        </w:trPr>
        <w:tc>
          <w:tcPr>
            <w:tcW w:type="dxa" w:w="14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PB</w:t>
            </w:r>
          </w:p>
        </w:tc>
        <w:tc>
          <w:tcPr>
            <w:tcW w:type="dxa" w:w="762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Product Backlog</w:t>
            </w:r>
          </w:p>
        </w:tc>
      </w:tr>
      <w:tr>
        <w:trPr>
          <w:cantSplit/>
        </w:trPr>
        <w:tc>
          <w:tcPr>
            <w:tcW w:type="dxa" w:w="14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PostGIS</w:t>
            </w:r>
          </w:p>
        </w:tc>
        <w:tc>
          <w:tcPr>
            <w:tcW w:type="dxa" w:w="762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PostgreSQL Geographic Information System</w:t>
            </w:r>
          </w:p>
        </w:tc>
      </w:tr>
      <w:tr>
        <w:trPr>
          <w:cantSplit/>
        </w:trPr>
        <w:tc>
          <w:tcPr>
            <w:tcW w:type="dxa" w:w="14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REST</w:t>
            </w:r>
          </w:p>
        </w:tc>
        <w:tc>
          <w:tcPr>
            <w:tcW w:type="dxa" w:w="762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Representational State Transfer</w:t>
            </w:r>
          </w:p>
        </w:tc>
      </w:tr>
      <w:tr>
        <w:trPr>
          <w:cantSplit/>
        </w:trPr>
        <w:tc>
          <w:tcPr>
            <w:tcW w:type="dxa" w:w="14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RG</w:t>
            </w:r>
          </w:p>
        </w:tc>
        <w:tc>
          <w:tcPr>
            <w:tcW w:type="dxa" w:w="762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Règle de Gestion</w:t>
            </w:r>
          </w:p>
        </w:tc>
      </w:tr>
      <w:tr>
        <w:trPr>
          <w:cantSplit/>
        </w:trPr>
        <w:tc>
          <w:tcPr>
            <w:tcW w:type="dxa" w:w="14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SGBD</w:t>
            </w:r>
          </w:p>
        </w:tc>
        <w:tc>
          <w:tcPr>
            <w:tcW w:type="dxa" w:w="762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Système de Gestion de Base de Données</w:t>
            </w:r>
          </w:p>
        </w:tc>
      </w:tr>
      <w:tr>
        <w:trPr>
          <w:cantSplit/>
        </w:trPr>
        <w:tc>
          <w:tcPr>
            <w:tcW w:type="dxa" w:w="14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SGBDR</w:t>
            </w:r>
          </w:p>
        </w:tc>
        <w:tc>
          <w:tcPr>
            <w:tcW w:type="dxa" w:w="762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Système de Gestion de Base de Données Relationnelle</w:t>
            </w:r>
          </w:p>
        </w:tc>
      </w:tr>
      <w:tr>
        <w:trPr>
          <w:cantSplit/>
        </w:trPr>
        <w:tc>
          <w:tcPr>
            <w:tcW w:type="dxa" w:w="14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SQL</w:t>
            </w:r>
          </w:p>
        </w:tc>
        <w:tc>
          <w:tcPr>
            <w:tcW w:type="dxa" w:w="762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Structured Query Language</w:t>
            </w:r>
          </w:p>
        </w:tc>
      </w:tr>
      <w:tr>
        <w:trPr>
          <w:cantSplit/>
        </w:trPr>
        <w:tc>
          <w:tcPr>
            <w:tcW w:type="dxa" w:w="14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TIC</w:t>
            </w:r>
          </w:p>
        </w:tc>
        <w:tc>
          <w:tcPr>
            <w:tcW w:type="dxa" w:w="762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Technologies de l'Information et de la Communication</w:t>
            </w:r>
          </w:p>
        </w:tc>
      </w:tr>
      <w:tr>
        <w:trPr>
          <w:cantSplit/>
        </w:trPr>
        <w:tc>
          <w:tcPr>
            <w:tcW w:type="dxa" w:w="14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UML</w:t>
            </w:r>
          </w:p>
        </w:tc>
        <w:tc>
          <w:tcPr>
            <w:tcW w:type="dxa" w:w="762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Unified Modeling Language</w:t>
            </w:r>
          </w:p>
        </w:tc>
      </w:tr>
      <w:tr>
        <w:trPr>
          <w:cantSplit/>
        </w:trPr>
        <w:tc>
          <w:tcPr>
            <w:tcW w:type="dxa" w:w="1402"/>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US</w:t>
            </w:r>
          </w:p>
        </w:tc>
        <w:tc>
          <w:tcPr>
            <w:tcW w:type="dxa" w:w="762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User Story</w:t>
            </w:r>
          </w:p>
        </w:tc>
      </w:tr>
      <w:tr>
        <w:trPr>
          <w:cantSplit/>
        </w:trPr>
        <w:tc>
          <w:tcPr>
            <w:tcW w:type="dxa" w:w="1402"/>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UUID</w:t>
            </w:r>
          </w:p>
        </w:tc>
        <w:tc>
          <w:tcPr>
            <w:tcW w:type="dxa" w:w="762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Universally Unique Identifier</w:t>
            </w:r>
          </w:p>
        </w:tc>
      </w:tr>
    </w:tbl>
    <w:p>
      <w:pPr>
        <w:spacing w:after="160"/>
      </w:pPr>
    </w:p>
    <w:p>
      <w:pPr>
        <w:keepNext/>
        <w:spacing w:after="40" w:before="240"/>
      </w:pPr>
      <w:r>
        <w:rPr>
          <w:rFonts w:ascii="Arial" w:cs="Arial" w:eastAsia="Arial" w:hAnsi="Arial"/>
          <w:b/>
          <w:bCs/>
          <w:color w:val="332E86"/>
          <w:sz w:val="21"/>
          <w:szCs w:val="21"/>
        </w:rPr>
        <w:t xml:space="preserve">Connaissances linguistiques</w:t>
      </w:r>
    </w:p>
    <w:p>
      <w:pPr>
        <w:keepNext/>
        <w:spacing w:after="80"/>
      </w:pPr>
      <w:r>
        <w:rPr>
          <w:rFonts w:ascii="Arial" w:cs="Arial" w:eastAsia="Arial" w:hAnsi="Arial"/>
          <w:color w:val="777788"/>
          <w:sz w:val="17"/>
          <w:szCs w:val="17"/>
        </w:rPr>
        <w:t xml:space="preserve">Section : Curriculum Vitae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74"/>
        <w:gridCol w:w="1914"/>
        <w:gridCol w:w="1383"/>
        <w:gridCol w:w="2060"/>
        <w:gridCol w:w="2295"/>
      </w:tblGrid>
      <w:tr>
        <w:trPr>
          <w:tblHeader/>
        </w:trPr>
        <w:tc>
          <w:tcPr>
            <w:tcW w:type="dxa" w:w="1374"/>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Aptitude</w:t>
            </w:r>
          </w:p>
        </w:tc>
        <w:tc>
          <w:tcPr>
            <w:tcW w:type="dxa" w:w="1914"/>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À comprendre à l’audition</w:t>
            </w:r>
          </w:p>
        </w:tc>
        <w:tc>
          <w:tcPr>
            <w:tcW w:type="dxa" w:w="1383"/>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À lire</w:t>
            </w:r>
          </w:p>
        </w:tc>
        <w:tc>
          <w:tcPr>
            <w:tcW w:type="dxa" w:w="206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À écrire et à rédiger</w:t>
            </w:r>
          </w:p>
        </w:tc>
        <w:tc>
          <w:tcPr>
            <w:tcW w:type="dxa" w:w="2295"/>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vAlign w:val="center"/>
          </w:tcPr>
          <w:p>
            <w:pPr>
              <w:spacing w:after="40"/>
            </w:pPr>
            <w:r>
              <w:rPr>
                <w:rFonts w:ascii="Arial" w:cs="Arial" w:eastAsia="Arial" w:hAnsi="Arial"/>
                <w:b/>
                <w:bCs/>
                <w:color w:val="FFFFFF"/>
                <w:sz w:val="18"/>
                <w:szCs w:val="18"/>
              </w:rPr>
              <w:t xml:space="preserve">À parler et à communiquer oralement</w:t>
            </w:r>
          </w:p>
        </w:tc>
      </w:tr>
      <w:tr>
        <w:trPr>
          <w:cantSplit/>
        </w:trPr>
        <w:tc>
          <w:tcPr>
            <w:tcW w:type="dxa" w:w="137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Anglais</w:t>
            </w:r>
          </w:p>
        </w:tc>
        <w:tc>
          <w:tcPr>
            <w:tcW w:type="dxa" w:w="19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ASSEZ BIEN</w:t>
            </w:r>
          </w:p>
        </w:tc>
        <w:tc>
          <w:tcPr>
            <w:tcW w:type="dxa" w:w="13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BIEN</w:t>
            </w:r>
          </w:p>
        </w:tc>
        <w:tc>
          <w:tcPr>
            <w:tcW w:type="dxa" w:w="206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ASSEZ BIEN</w:t>
            </w:r>
          </w:p>
        </w:tc>
        <w:tc>
          <w:tcPr>
            <w:tcW w:type="dxa" w:w="229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ASSEZ BIEN</w:t>
            </w:r>
          </w:p>
        </w:tc>
      </w:tr>
      <w:tr>
        <w:trPr>
          <w:cantSplit/>
        </w:trPr>
        <w:tc>
          <w:tcPr>
            <w:tcW w:type="dxa" w:w="137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bCs/>
                <w:sz w:val="18"/>
                <w:szCs w:val="18"/>
              </w:rPr>
              <w:t xml:space="preserve">Français</w:t>
            </w:r>
          </w:p>
        </w:tc>
        <w:tc>
          <w:tcPr>
            <w:tcW w:type="dxa" w:w="1914"/>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BIEN</w:t>
            </w:r>
          </w:p>
        </w:tc>
        <w:tc>
          <w:tcPr>
            <w:tcW w:type="dxa" w:w="1383"/>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BIEN</w:t>
            </w:r>
          </w:p>
        </w:tc>
        <w:tc>
          <w:tcPr>
            <w:tcW w:type="dxa" w:w="206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BIEN</w:t>
            </w:r>
          </w:p>
        </w:tc>
        <w:tc>
          <w:tcPr>
            <w:tcW w:type="dxa" w:w="2295"/>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BIEN</w:t>
            </w:r>
          </w:p>
        </w:tc>
      </w:tr>
      <w:tr>
        <w:trPr>
          <w:cantSplit/>
        </w:trPr>
        <w:tc>
          <w:tcPr>
            <w:tcW w:type="dxa" w:w="137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bCs/>
                <w:sz w:val="18"/>
                <w:szCs w:val="18"/>
              </w:rPr>
              <w:t xml:space="preserve">Malagasy</w:t>
            </w:r>
          </w:p>
        </w:tc>
        <w:tc>
          <w:tcPr>
            <w:tcW w:type="dxa" w:w="1914"/>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BIEN</w:t>
            </w:r>
          </w:p>
        </w:tc>
        <w:tc>
          <w:tcPr>
            <w:tcW w:type="dxa" w:w="1383"/>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BIEN</w:t>
            </w:r>
          </w:p>
        </w:tc>
        <w:tc>
          <w:tcPr>
            <w:tcW w:type="dxa" w:w="2060"/>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BIEN</w:t>
            </w:r>
          </w:p>
        </w:tc>
        <w:tc>
          <w:tcPr>
            <w:tcW w:type="dxa" w:w="2295"/>
            <w:tcBorders>
              <w:top w:val="single" w:color="C9C9D6" w:sz="4"/>
              <w:left w:val="single" w:color="C9C9D6" w:sz="4"/>
              <w:bottom w:val="single" w:color="C9C9D6" w:sz="4"/>
              <w:right w:val="single" w:color="C9C9D6" w:sz="4"/>
            </w:tcBorders>
            <w:tcMar>
              <w:top w:type="dxa" w:w="70"/>
              <w:left w:type="dxa" w:w="100"/>
              <w:bottom w:type="dxa" w:w="70"/>
              <w:right w:type="dxa" w:w="100"/>
            </w:tcMar>
            <w:vAlign w:val="top"/>
          </w:tcPr>
          <w:p>
            <w:pPr>
              <w:spacing w:after="40"/>
            </w:pPr>
            <w:r>
              <w:rPr>
                <w:rFonts w:ascii="Arial" w:cs="Arial" w:eastAsia="Arial" w:hAnsi="Arial"/>
                <w:b w:val="false"/>
                <w:bCs w:val="false"/>
                <w:sz w:val="18"/>
                <w:szCs w:val="18"/>
              </w:rPr>
              <w:t xml:space="preserve">BIEN</w:t>
            </w:r>
          </w:p>
        </w:tc>
      </w:tr>
    </w:tbl>
    <w:p>
      <w:pPr>
        <w:spacing w:after="160"/>
      </w:pP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r>
    <w:r>
      <w:rPr>
        <w:rFonts w:ascii="Arial" w:cs="Arial" w:eastAsia="Arial" w:hAnsi="Arial"/>
        <w:color w:val="888888"/>
        <w:sz w:val="16"/>
        <w:szCs w:val="16"/>
      </w:rPr>
      <w:instrText xml:space="preserve">PAGE</w:instrText>
    </w:r>
    <w:r>
      <w:rPr>
        <w:rFonts w:ascii="Arial" w:cs="Arial" w:eastAsia="Arial" w:hAnsi="Arial"/>
        <w:color w:val="888888"/>
        <w:sz w:val="16"/>
        <w:szCs w:val="16"/>
      </w:rPr>
      <w:fldChar w:fldCharType="separate"/>
    </w:r>
    <w:r>
      <w:rPr>
        <w:rFonts w:ascii="Arial" w:cs="Arial" w:eastAsia="Arial" w:hAnsi="Arial"/>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Tableaux du mémoire EduLoc</dc:title>
  <dc:creator>EduLoc</dc:creator>
  <cp:lastModifiedBy>Un-named</cp:lastModifiedBy>
  <cp:revision>1</cp:revision>
  <dcterms:created xsi:type="dcterms:W3CDTF">2026-10-28T06:33:20.429Z</dcterms:created>
  <dcterms:modified xsi:type="dcterms:W3CDTF">2026-10-28T06:33:20.444Z</dcterms:modified>
</cp:coreProperties>
</file>

<file path=docProps/custom.xml><?xml version="1.0" encoding="utf-8"?>
<Properties xmlns="http://schemas.openxmlformats.org/officeDocument/2006/custom-properties" xmlns:vt="http://schemas.openxmlformats.org/officeDocument/2006/docPropsVTypes"/>
</file>