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spacing w:after="200" w:before="200"/>
        <w:jc w:val="center"/>
      </w:pPr>
      <w:r>
        <w:rPr>
          <w:b/>
          <w:bCs/>
          <w:color w:val="7A1F2B"/>
          <w:sz w:val="32"/>
          <w:szCs w:val="32"/>
        </w:rPr>
        <w:t xml:space="preserve">HACKFEST 2026</w:t>
      </w:r>
    </w:p>
    <w:p>
      <w:pPr>
        <w:pBdr>
          <w:bottom w:val="single" w:color="7A1F2B" w:sz="10"/>
        </w:pBdr>
        <w:spacing w:after="240"/>
        <w:jc w:val="center"/>
      </w:pPr>
      <w:r>
        <w:t xml:space="preserve">                                                            </w:t>
      </w:r>
    </w:p>
    <w:p>
      <w:pPr>
        <w:spacing w:after="60"/>
        <w:jc w:val="center"/>
      </w:pPr>
      <w:r>
        <w:rPr>
          <w:color w:val="222222"/>
          <w:sz w:val="24"/>
          <w:szCs w:val="24"/>
        </w:rPr>
        <w:t xml:space="preserve">Problem Statement Documentation &amp; Technical Submission</w:t>
      </w:r>
    </w:p>
    <w:p>
      <w:pPr>
        <w:spacing w:after="500"/>
        <w:jc w:val="center"/>
      </w:pPr>
      <w:r/>
    </w:p>
    <w:tbl>
      <w:tblPr>
        <w:tblW w:type="dxa" w:w="10466"/>
        <w:tblBorders>
          <w:top w:val="single" w:color="999999" w:sz="4"/>
          <w:left w:val="single" w:color="999999" w:sz="4"/>
          <w:bottom w:val="single" w:color="999999" w:sz="4"/>
          <w:right w:val="single" w:color="999999" w:sz="4"/>
          <w:insideH w:val="single" w:color="CCCCCC" w:sz="4"/>
          <w:insideV w:val="single" w:color="CCCCCC" w:sz="4"/>
        </w:tblBorders>
      </w:tblPr>
      <w:tblGrid>
        <w:gridCol w:w="3000"/>
        <w:gridCol w:w="7466"/>
      </w:tblGrid>
      <w:tr>
        <w:tc>
          <w:tcPr>
            <w:tcW w:type="dxa" w:w="3000"/>
            <w:shd w:fill="F6F1E7" w:color="auto" w:val="clear"/>
            <w:tcMar>
              <w:top w:type="dxa" w:w="120"/>
              <w:left w:type="dxa" w:w="150"/>
              <w:bottom w:type="dxa" w:w="120"/>
              <w:right w:type="dxa" w:w="100"/>
            </w:tcMar>
          </w:tcPr>
          <w:p>
            <w:r>
              <w:rPr>
                <w:b/>
                <w:color w:val="222222"/>
                <w:sz w:val="19"/>
              </w:rPr>
              <w:t>Team ID</w:t>
            </w:r>
          </w:p>
        </w:tc>
        <w:tc>
          <w:tcPr>
            <w:tcW w:type="dxa" w:w="7466"/>
            <w:tcMar>
              <w:top w:type="dxa" w:w="120"/>
              <w:left w:type="dxa" w:w="150"/>
              <w:bottom w:type="dxa" w:w="120"/>
              <w:right w:type="dxa" w:w="100"/>
            </w:tcMar>
          </w:tcPr>
          <w:p>
            <w:r>
              <w:rPr>
                <w:b w:val="0"/>
                <w:color w:val="222222"/>
                <w:sz w:val="19"/>
              </w:rPr>
              <w:t>KH051</w:t>
            </w:r>
          </w:p>
        </w:tc>
      </w:tr>
      <w:tr>
        <w:tc>
          <w:tcPr>
            <w:tcW w:type="dxa" w:w="3000"/>
            <w:shd w:fill="F6F1E7" w:color="auto" w:val="clear"/>
            <w:tcMar>
              <w:top w:type="dxa" w:w="120"/>
              <w:left w:type="dxa" w:w="150"/>
              <w:bottom w:type="dxa" w:w="120"/>
              <w:right w:type="dxa" w:w="100"/>
            </w:tcMar>
          </w:tcPr>
          <w:p>
            <w:r>
              <w:rPr>
                <w:b/>
                <w:color w:val="222222"/>
                <w:sz w:val="19"/>
              </w:rPr>
              <w:t>Team Name</w:t>
            </w:r>
          </w:p>
        </w:tc>
        <w:tc>
          <w:tcPr>
            <w:tcW w:type="dxa" w:w="7466"/>
            <w:tcMar>
              <w:top w:type="dxa" w:w="120"/>
              <w:left w:type="dxa" w:w="150"/>
              <w:bottom w:type="dxa" w:w="120"/>
              <w:right w:type="dxa" w:w="100"/>
            </w:tcMar>
          </w:tcPr>
          <w:p>
            <w:r>
              <w:rPr>
                <w:b w:val="0"/>
                <w:color w:val="222222"/>
                <w:sz w:val="19"/>
              </w:rPr>
              <w:t>Kurukshetra</w:t>
            </w:r>
          </w:p>
        </w:tc>
      </w:tr>
      <w:tr>
        <w:tc>
          <w:tcPr>
            <w:tcW w:type="dxa" w:w="3000"/>
            <w:shd w:fill="F6F1E7" w:color="auto" w:val="clear"/>
            <w:tcMar>
              <w:top w:type="dxa" w:w="120"/>
              <w:left w:type="dxa" w:w="150"/>
              <w:bottom w:type="dxa" w:w="120"/>
              <w:right w:type="dxa" w:w="100"/>
            </w:tcMar>
          </w:tcPr>
          <w:p>
            <w:r>
              <w:rPr>
                <w:b/>
                <w:color w:val="222222"/>
                <w:sz w:val="19"/>
              </w:rPr>
              <w:t>Team Leader Name</w:t>
            </w:r>
          </w:p>
        </w:tc>
        <w:tc>
          <w:tcPr>
            <w:tcW w:type="dxa" w:w="7466"/>
            <w:tcMar>
              <w:top w:type="dxa" w:w="120"/>
              <w:left w:type="dxa" w:w="150"/>
              <w:bottom w:type="dxa" w:w="120"/>
              <w:right w:type="dxa" w:w="100"/>
            </w:tcMar>
          </w:tcPr>
          <w:p>
            <w:r>
              <w:rPr>
                <w:b w:val="0"/>
                <w:color w:val="222222"/>
                <w:sz w:val="19"/>
              </w:rPr>
              <w:t>Laukik Rathod</w:t>
            </w:r>
          </w:p>
        </w:tc>
      </w:tr>
      <w:tr>
        <w:tc>
          <w:tcPr>
            <w:tcW w:type="dxa" w:w="3000"/>
            <w:shd w:fill="F6F1E7" w:color="auto" w:val="clear"/>
            <w:tcMar>
              <w:top w:type="dxa" w:w="120"/>
              <w:left w:type="dxa" w:w="150"/>
              <w:bottom w:type="dxa" w:w="120"/>
              <w:right w:type="dxa" w:w="100"/>
            </w:tcMar>
          </w:tcPr>
          <w:p>
            <w:r>
              <w:rPr>
                <w:b/>
                <w:color w:val="222222"/>
                <w:sz w:val="19"/>
              </w:rPr>
              <w:t>Problem Statement No.</w:t>
            </w:r>
          </w:p>
        </w:tc>
        <w:tc>
          <w:tcPr>
            <w:tcW w:type="dxa" w:w="7466"/>
            <w:tcMar>
              <w:top w:type="dxa" w:w="120"/>
              <w:left w:type="dxa" w:w="150"/>
              <w:bottom w:type="dxa" w:w="120"/>
              <w:right w:type="dxa" w:w="100"/>
            </w:tcMar>
          </w:tcPr>
          <w:p>
            <w:r>
              <w:rPr>
                <w:b w:val="0"/>
                <w:color w:val="222222"/>
                <w:sz w:val="19"/>
              </w:rPr>
              <w:t>PS09</w:t>
            </w:r>
          </w:p>
        </w:tc>
      </w:tr>
      <w:tr>
        <w:tc>
          <w:tcPr>
            <w:tcW w:type="dxa" w:w="3000"/>
            <w:shd w:fill="F6F1E7" w:color="auto" w:val="clear"/>
            <w:tcMar>
              <w:top w:type="dxa" w:w="120"/>
              <w:left w:type="dxa" w:w="150"/>
              <w:bottom w:type="dxa" w:w="120"/>
              <w:right w:type="dxa" w:w="100"/>
            </w:tcMar>
          </w:tcPr>
          <w:p>
            <w:r>
              <w:rPr>
                <w:b/>
                <w:color w:val="222222"/>
                <w:sz w:val="19"/>
              </w:rPr>
              <w:t>Problem Statement Name</w:t>
            </w:r>
          </w:p>
        </w:tc>
        <w:tc>
          <w:tcPr>
            <w:tcW w:type="dxa" w:w="7466"/>
            <w:tcMar>
              <w:top w:type="dxa" w:w="120"/>
              <w:left w:type="dxa" w:w="150"/>
              <w:bottom w:type="dxa" w:w="120"/>
              <w:right w:type="dxa" w:w="100"/>
            </w:tcMar>
          </w:tcPr>
          <w:p>
            <w:r>
              <w:rPr>
                <w:b w:val="0"/>
                <w:color w:val="222222"/>
                <w:sz w:val="19"/>
              </w:rPr>
              <w:t>Agentic Guardian for Real-Time Payment Scam Interception</w:t>
            </w:r>
          </w:p>
        </w:tc>
      </w:tr>
      <w:tr>
        <w:tc>
          <w:tcPr>
            <w:tcW w:type="dxa" w:w="3000"/>
            <w:shd w:fill="F6F1E7" w:color="auto" w:val="clear"/>
            <w:tcMar>
              <w:top w:type="dxa" w:w="120"/>
              <w:left w:type="dxa" w:w="150"/>
              <w:bottom w:type="dxa" w:w="120"/>
              <w:right w:type="dxa" w:w="100"/>
            </w:tcMar>
          </w:tcPr>
          <w:p>
            <w:r>
              <w:rPr>
                <w:b/>
                <w:color w:val="222222"/>
                <w:sz w:val="19"/>
              </w:rPr>
              <w:t>Date of Submission</w:t>
            </w:r>
          </w:p>
        </w:tc>
        <w:tc>
          <w:tcPr>
            <w:tcW w:type="dxa" w:w="7466"/>
            <w:tcMar>
              <w:top w:type="dxa" w:w="120"/>
              <w:left w:type="dxa" w:w="150"/>
              <w:bottom w:type="dxa" w:w="120"/>
              <w:right w:type="dxa" w:w="100"/>
            </w:tcMar>
          </w:tcPr>
          <w:p>
            <w:r>
              <w:rPr>
                <w:b w:val="0"/>
                <w:color w:val="222222"/>
                <w:sz w:val="19"/>
              </w:rPr>
              <w:t>September 11, 2026</w:t>
            </w:r>
          </w:p>
        </w:tc>
      </w:tr>
    </w:tbl>
    <w:p>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1 — TEAM DETAILS</w:t>
            </w:r>
          </w:p>
        </w:tc>
      </w:tr>
    </w:tbl>
    <w:p>
      <w:pPr>
        <w:spacing w:before="120"/>
      </w:pPr>
    </w:p>
    <w:p>
      <w:pPr>
        <w:spacing w:after="40" w:before="200"/>
      </w:pPr>
      <w:r>
        <w:rPr>
          <w:b/>
          <w:bCs/>
          <w:color w:val="222222"/>
          <w:sz w:val="20"/>
          <w:szCs w:val="20"/>
        </w:rPr>
        <w:t xml:space="preserve">Team ID</w:t>
      </w:r>
    </w:p>
    <w:p>
      <w:pPr>
        <w:pBdr>
          <w:bottom w:val="single" w:color="999999" w:sz="4" w:space="1"/>
        </w:pBdr>
        <w:spacing w:after="220" w:before="40"/>
      </w:pPr>
      <w:r>
        <w:rPr>
          <w:b/>
          <w:color w:val="222222"/>
          <w:sz w:val="20"/>
        </w:rPr>
        <w:t>KH051</w:t>
      </w:r>
    </w:p>
    <w:p>
      <w:pPr>
        <w:spacing w:after="40" w:before="200"/>
      </w:pPr>
      <w:r>
        <w:rPr>
          <w:b/>
          <w:bCs/>
          <w:color w:val="222222"/>
          <w:sz w:val="20"/>
          <w:szCs w:val="20"/>
        </w:rPr>
        <w:t xml:space="preserve">Team Name</w:t>
      </w:r>
    </w:p>
    <w:p>
      <w:pPr>
        <w:pBdr>
          <w:bottom w:val="single" w:color="999999" w:sz="4" w:space="1"/>
        </w:pBdr>
        <w:spacing w:after="220" w:before="40"/>
      </w:pPr>
      <w:r>
        <w:rPr>
          <w:b/>
          <w:color w:val="222222"/>
          <w:sz w:val="20"/>
        </w:rPr>
        <w:t>Kurukshetra</w:t>
      </w:r>
    </w:p>
    <w:p>
      <w:pPr>
        <w:spacing w:after="40" w:before="200"/>
      </w:pPr>
      <w:r>
        <w:rPr>
          <w:b/>
          <w:bCs/>
          <w:color w:val="222222"/>
          <w:sz w:val="20"/>
          <w:szCs w:val="20"/>
        </w:rPr>
        <w:t xml:space="preserve">Team Leader Name</w:t>
      </w:r>
    </w:p>
    <w:p>
      <w:pPr>
        <w:pBdr>
          <w:bottom w:val="single" w:color="999999" w:sz="4" w:space="1"/>
        </w:pBdr>
        <w:spacing w:after="220" w:before="40"/>
      </w:pPr>
      <w:r>
        <w:rPr>
          <w:b/>
          <w:color w:val="222222"/>
          <w:sz w:val="20"/>
        </w:rPr>
        <w:t>Laukik Rathod</w:t>
      </w:r>
    </w:p>
    <w:p>
      <w:pPr>
        <w:spacing w:after="40" w:before="200"/>
      </w:pPr>
      <w:r>
        <w:rPr>
          <w:b/>
          <w:bCs/>
          <w:color w:val="222222"/>
          <w:sz w:val="20"/>
          <w:szCs w:val="20"/>
        </w:rPr>
        <w:t xml:space="preserve">Team Members Name(s)</w:t>
      </w:r>
    </w:p>
    <w:p>
      <w:pPr>
        <w:spacing w:after="60"/>
      </w:pPr>
      <w:r>
        <w:rPr>
          <w:i/>
          <w:iCs/>
          <w:color w:val="666666"/>
          <w:sz w:val="17"/>
          <w:szCs w:val="17"/>
        </w:rPr>
        <w:t xml:space="preserve">List the names of all other team members.</w:t>
      </w:r>
    </w:p>
    <w:p>
      <w:pPr>
        <w:pBdr>
          <w:bottom w:val="single" w:color="999999" w:sz="4" w:space="1"/>
        </w:pBdr>
        <w:spacing w:after="220" w:before="40"/>
      </w:pPr>
      <w:r>
        <w:rPr>
          <w:b w:val="0"/>
          <w:color w:val="222222"/>
          <w:sz w:val="20"/>
        </w:rPr>
        <w:t>1. Laukik Rathod (Team Leader)               2. Aayush Deshpande</w:t>
      </w:r>
    </w:p>
    <w:p>
      <w:pPr>
        <w:pBdr>
          <w:bottom w:val="single" w:color="999999" w:sz="4" w:space="1"/>
        </w:pBdr>
        <w:spacing w:after="220" w:before="40"/>
      </w:pPr>
      <w:r>
        <w:rPr>
          <w:b w:val="0"/>
          <w:color w:val="222222"/>
          <w:sz w:val="20"/>
        </w:rPr>
        <w:t>3. Prasad Bhalerao                            4. Harshal Yadav</w:t>
      </w:r>
    </w:p>
    <w:p>
      <w:pPr>
        <w:spacing w:after="40" w:before="200"/>
      </w:pPr>
      <w:r>
        <w:rPr>
          <w:b/>
          <w:bCs/>
          <w:color w:val="222222"/>
          <w:sz w:val="20"/>
          <w:szCs w:val="20"/>
        </w:rPr>
        <w:t xml:space="preserve">Problem Statement Number</w:t>
      </w:r>
    </w:p>
    <w:p>
      <w:pPr>
        <w:pBdr>
          <w:bottom w:val="single" w:color="999999" w:sz="4" w:space="1"/>
        </w:pBdr>
        <w:spacing w:after="220" w:before="40"/>
      </w:pPr>
      <w:r>
        <w:rPr>
          <w:b/>
          <w:color w:val="222222"/>
          <w:sz w:val="20"/>
        </w:rPr>
        <w:t>PS09</w:t>
      </w:r>
    </w:p>
    <w:p>
      <w:pPr>
        <w:spacing w:after="40" w:before="200"/>
      </w:pPr>
      <w:r>
        <w:rPr>
          <w:b/>
          <w:bCs/>
          <w:color w:val="222222"/>
          <w:sz w:val="20"/>
          <w:szCs w:val="20"/>
        </w:rPr>
        <w:t xml:space="preserve">Problem Statement Name</w:t>
      </w:r>
    </w:p>
    <w:p>
      <w:pPr>
        <w:pBdr>
          <w:bottom w:val="single" w:color="999999" w:sz="4" w:space="1"/>
        </w:pBdr>
        <w:spacing w:after="220" w:before="40"/>
      </w:pPr>
      <w:r>
        <w:rPr>
          <w:b/>
          <w:color w:val="222222"/>
          <w:sz w:val="20"/>
        </w:rPr>
        <w:t>Agentic Guardian for Real-Time Payment Scam Interception</w:t>
      </w:r>
    </w:p>
    <w:p>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2 — UNDERSTANDING OF THE PROBLEM</w:t>
            </w:r>
          </w:p>
        </w:tc>
      </w:tr>
    </w:tbl>
    <w:p>
      <w:pPr>
        <w:spacing w:before="120"/>
      </w:pPr>
    </w:p>
    <w:p>
      <w:pPr>
        <w:spacing w:after="40" w:before="200"/>
      </w:pPr>
      <w:r>
        <w:rPr>
          <w:b/>
          <w:bCs/>
          <w:color w:val="222222"/>
          <w:sz w:val="20"/>
          <w:szCs w:val="20"/>
        </w:rPr>
        <w:t xml:space="preserve">Problem Statement</w:t>
      </w:r>
    </w:p>
    <w:p>
      <w:pPr>
        <w:spacing w:after="60"/>
      </w:pPr>
      <w:r>
        <w:rPr>
          <w:i/>
          <w:iCs/>
          <w:color w:val="666666"/>
          <w:sz w:val="17"/>
          <w:szCs w:val="17"/>
        </w:rPr>
        <w:t xml:space="preserve">Explain the problem your team is solving, in your own words.</w:t>
      </w:r>
    </w:p>
    <w:p>
      <w:pPr>
        <w:spacing w:after="120" w:before="20"/>
      </w:pPr>
      <w:r>
        <w:rPr>
          <w:b/>
          <w:color w:val="222222"/>
          <w:sz w:val="20"/>
        </w:rPr>
        <w:t xml:space="preserve">Digital Payment Vulnerability Landscape: </w:t>
      </w:r>
      <w:r>
        <w:rPr>
          <w:b w:val="0"/>
          <w:color w:val="222222"/>
          <w:sz w:val="20"/>
        </w:rPr>
        <w:t>Digital payment scams exploit a fundamental structural gap in modern instant settlement rails such as UPI, Faster Payments, and FedNow. Transactions clear and settle in seconds, and transfers are completely irreversible the moment execution completes. Traditional financial crime defenses were architected exclusively for unauthorized account takeover, where an attacker compromises credentials or intercepts a session from an unfamiliar device. Those perimeter controls fail against Authorized Push Payment (APP) scams.</w:t>
      </w:r>
    </w:p>
    <w:p>
      <w:pPr>
        <w:spacing w:after="120" w:before="20"/>
      </w:pPr>
      <w:r>
        <w:rPr>
          <w:b/>
          <w:color w:val="222222"/>
          <w:sz w:val="20"/>
        </w:rPr>
        <w:t xml:space="preserve">The Mechanics of APP Scams: </w:t>
      </w:r>
      <w:r>
        <w:rPr>
          <w:b w:val="0"/>
          <w:color w:val="222222"/>
          <w:sz w:val="20"/>
        </w:rPr>
        <w:t>In an APP scam, the legitimate, authenticated user initiates and authorizes the transaction themselves. They enter their own valid PIN or biometric credential, satisfying every authentication protocol. The failure is not in identity verification; it lies in the user's deception regarding the true identity of the recipient and the real purpose of the transfer. Once authorized, illicit funds are routed across automated mule account networks within minutes, rendering post-transaction recovery virtually impossible.</w:t>
      </w:r>
    </w:p>
    <w:p>
      <w:pPr>
        <w:spacing w:after="120" w:before="20"/>
      </w:pPr>
      <w:r>
        <w:rPr>
          <w:b/>
          <w:color w:val="222222"/>
          <w:sz w:val="20"/>
        </w:rPr>
        <w:t xml:space="preserve">The Pre-Transaction Defense Imperative: </w:t>
      </w:r>
      <w:r>
        <w:rPr>
          <w:b w:val="0"/>
          <w:color w:val="222222"/>
          <w:sz w:val="20"/>
        </w:rPr>
        <w:t>Users urgently require pre-transaction intelligence: an agentic payment-security guardian embedded directly at the confirmation step. This system inspects transaction context, evaluates multi-modal fraud indicators, cross-references recipient legitimacy against declared payment intent, and enforces defensive intervention before the authorization is irrevocably committed.</w:t>
      </w:r>
    </w:p>
    <w:p>
      <w:pPr>
        <w:spacing w:after="40" w:before="200"/>
      </w:pPr>
      <w:r>
        <w:rPr>
          <w:b/>
          <w:bCs/>
          <w:color w:val="222222"/>
          <w:sz w:val="20"/>
          <w:szCs w:val="20"/>
        </w:rPr>
        <w:t xml:space="preserve">Problem Analysis / Background</w:t>
      </w:r>
    </w:p>
    <w:p>
      <w:pPr>
        <w:spacing w:after="60"/>
      </w:pPr>
      <w:r>
        <w:rPr>
          <w:i/>
          <w:iCs/>
          <w:color w:val="666666"/>
          <w:sz w:val="17"/>
          <w:szCs w:val="17"/>
        </w:rPr>
        <w:t xml:space="preserve">What is the current situation or existing problem? Who is affected by it?</w:t>
      </w:r>
    </w:p>
    <w:p>
      <w:pPr>
        <w:spacing w:after="120" w:before="20"/>
      </w:pPr>
      <w:r>
        <w:rPr>
          <w:b/>
          <w:color w:val="222222"/>
          <w:sz w:val="20"/>
        </w:rPr>
        <w:t xml:space="preserve">Stakeholders Affected: </w:t>
      </w:r>
      <w:r>
        <w:rPr>
          <w:b w:val="0"/>
          <w:color w:val="222222"/>
          <w:sz w:val="20"/>
        </w:rPr>
        <w:t>The primary burden falls upon retail consumers who suffer life-altering financial loss without legal recourse, as banks classify authorized payments as customer-directed. Sending financial institutions face mounting reimbursement liabilities, customer friction, and attrition. Receiving institutions are unwittingly weaponized as mule conduits. Law enforcement agencies face an unmanageable volume of cross-jurisdictional cyber fraud where funds disperse through layered accounts faster than freeze orders can be served.</w:t>
      </w:r>
    </w:p>
    <w:p>
      <w:pPr>
        <w:spacing w:after="120" w:before="20"/>
      </w:pPr>
      <w:r>
        <w:rPr>
          <w:b/>
          <w:color w:val="222222"/>
          <w:sz w:val="20"/>
        </w:rPr>
        <w:t xml:space="preserve">The Consent Paradox &amp; Warning Habituation: </w:t>
      </w:r>
      <w:r>
        <w:rPr>
          <w:b w:val="0"/>
          <w:color w:val="222222"/>
          <w:sz w:val="20"/>
        </w:rPr>
        <w:t>Traditional security dialogues rely on static, generic warning banners such as 'Are you sure you want to send money to this contact?'. Behavioral security studies demonstrate that victims under active psychological manipulation (e.g. fear, urgency, authority impersonation) exhibit 'hot cognition' and dismiss generic pop-ups in sub-second intervals. Scammers routinely coach victims to ignore standardized warnings, making static friction useless.</w:t>
      </w:r>
    </w:p>
    <w:p>
      <w:pPr>
        <w:spacing w:after="120" w:before="20"/>
      </w:pPr>
      <w:r>
        <w:rPr>
          <w:b/>
          <w:color w:val="222222"/>
          <w:sz w:val="20"/>
        </w:rPr>
        <w:t xml:space="preserve">The Critical Intervention Window: </w:t>
      </w:r>
      <w:r>
        <w:rPr>
          <w:b w:val="0"/>
          <w:color w:val="222222"/>
          <w:sz w:val="20"/>
        </w:rPr>
        <w:t>Real-time fraud detection must operate within the pre-authorization confirmation window. Once the payment message is submitted to the clearing rail, defensive leverage drops to zero. Effective defense demands deep contextual reasoning: contrasting payment notes, recipient tenure, velocity anomalies, and psychological manipulation patterns to deliver targeted, un-dismissible friction.</w:t>
      </w:r>
    </w:p>
    <w:p>
      <w:pPr>
        <w:spacing w:after="40" w:before="200"/>
      </w:pPr>
      <w:r>
        <w:rPr>
          <w:b/>
          <w:bCs/>
          <w:color w:val="222222"/>
          <w:sz w:val="20"/>
          <w:szCs w:val="20"/>
        </w:rPr>
        <w:t xml:space="preserve">Proposed Solution</w:t>
      </w:r>
    </w:p>
    <w:p>
      <w:pPr>
        <w:spacing w:after="60"/>
      </w:pPr>
      <w:r>
        <w:rPr>
          <w:i/>
          <w:iCs/>
          <w:color w:val="666666"/>
          <w:sz w:val="17"/>
          <w:szCs w:val="17"/>
        </w:rPr>
        <w:t xml:space="preserve">Explain your proposed solution and how it addresses the selected Problem Statement.</w:t>
      </w:r>
    </w:p>
    <w:p>
      <w:pPr>
        <w:spacing w:after="120" w:before="20"/>
      </w:pPr>
      <w:r>
        <w:rPr>
          <w:b/>
          <w:color w:val="222222"/>
          <w:sz w:val="20"/>
        </w:rPr>
        <w:t xml:space="preserve">Agentic Guardian Architecture: </w:t>
      </w:r>
      <w:r>
        <w:rPr>
          <w:b w:val="0"/>
          <w:color w:val="222222"/>
          <w:sz w:val="20"/>
        </w:rPr>
        <w:t>We built Agentic Guardian, an intelligent, real-time security system integrated directly into the payment confirmation workflow. The solution employs a hybrid, dual-path architecture combining high-speed deterministic evaluation with bounded multi-agent reasoning, governed by an uncompromising deterministic policy engine.</w:t>
      </w:r>
    </w:p>
    <w:p>
      <w:pPr>
        <w:spacing w:after="120" w:before="20"/>
      </w:pPr>
      <w:r>
        <w:rPr>
          <w:b/>
          <w:color w:val="222222"/>
          <w:sz w:val="20"/>
        </w:rPr>
        <w:t xml:space="preserve">Hot Path (Deterministic &amp; ML Scorer): </w:t>
      </w:r>
      <w:r>
        <w:rPr>
          <w:b w:val="0"/>
          <w:color w:val="222222"/>
          <w:sz w:val="20"/>
        </w:rPr>
        <w:t>Every incoming payment attempt is first evaluated in milliseconds. It executes hard blocklist verification, recipient registry resolution, heuristic purpose classification, rolling-window velocity feature computation, and inference via a trained Gradient Boosted Tree (GBT) model. This produces a numerical hot_score, a preliminary risk tier, and a confidence metric. Confidently benign transactions (e.g. recurring rent or verified utilities) are cleared immediately with zero latency overhead.</w:t>
      </w:r>
    </w:p>
    <w:p>
      <w:pPr>
        <w:spacing w:after="120" w:before="20"/>
      </w:pPr>
      <w:r>
        <w:rPr>
          <w:b/>
          <w:color w:val="222222"/>
          <w:sz w:val="20"/>
        </w:rPr>
        <w:t xml:space="preserve">Warm Path (Multi-Specialist Agent Ensemble): </w:t>
      </w:r>
      <w:r>
        <w:rPr>
          <w:b w:val="0"/>
          <w:color w:val="222222"/>
          <w:sz w:val="20"/>
        </w:rPr>
        <w:t>Ambiguous or elevated-risk transactions trigger a concurrent ensemble of four specialized reasoning components: (1) Identity &amp; Purpose Specialist (verifies recipient categorization against declared note intent), (2) Linguistic Manipulation Specialist (detects urgency, secrecy, and authority impersonation cues), (3) Behavioral Velocity Specialist (detects multi-tranche structuring across 1h/24h windows), and (4) Historical Pattern Specialist (queries a static scam typology corpus via vector similarity). A Specialist Coordinator synthesizes findings into a unified, structured JSON verdict.</w:t>
      </w:r>
    </w:p>
    <w:p>
      <w:pPr>
        <w:spacing w:after="120" w:before="20"/>
      </w:pPr>
      <w:r>
        <w:rPr>
          <w:b/>
          <w:color w:val="222222"/>
          <w:sz w:val="20"/>
        </w:rPr>
        <w:t xml:space="preserve">Deterministic Policy Engine &amp; Graduated Friction: </w:t>
      </w:r>
      <w:r>
        <w:rPr>
          <w:b w:val="0"/>
          <w:color w:val="222222"/>
          <w:sz w:val="20"/>
        </w:rPr>
        <w:t>The Policy Engine retains sole decision authority. An inviolable architectural invariant ensures that the LLM agent can only increase caution; it can never downgrade risk below the hot-path baseline. The system maps risk tiers to five graduated friction states: ALLOW (zero friction), ADVISE (non-blocking informational notice), CHALLENGE (mandatory interactive verification), PAUSE (high-friction review with explicit reason override), and BLOCK (non-overrideable hard termination). Every decision logs an immutable, SHA-256 cryptographically chained audit record.</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3 — RESEARCH</w:t>
            </w:r>
          </w:p>
        </w:tc>
      </w:tr>
    </w:tbl>
    <w:p>
      <w:pPr>
        <w:spacing w:before="120"/>
      </w:pPr>
    </w:p>
    <w:p>
      <w:pPr>
        <w:spacing w:after="40" w:before="200"/>
      </w:pPr>
      <w:r>
        <w:rPr>
          <w:b/>
          <w:bCs/>
          <w:color w:val="222222"/>
          <w:sz w:val="20"/>
          <w:szCs w:val="20"/>
        </w:rPr>
        <w:t xml:space="preserve">Research Conducted</w:t>
      </w:r>
    </w:p>
    <w:p>
      <w:pPr>
        <w:spacing w:after="60"/>
      </w:pPr>
      <w:r>
        <w:rPr>
          <w:i/>
          <w:iCs/>
          <w:color w:val="666666"/>
          <w:sz w:val="17"/>
          <w:szCs w:val="17"/>
        </w:rPr>
        <w:t xml:space="preserve">Research, references, datasets, papers, websites, APIs, documentation, or other resources used.</w:t>
      </w:r>
    </w:p>
    <w:p>
      <w:pPr>
        <w:spacing w:after="120" w:before="20"/>
      </w:pPr>
      <w:r>
        <w:rPr>
          <w:b/>
          <w:color w:val="222222"/>
          <w:sz w:val="20"/>
        </w:rPr>
        <w:t xml:space="preserve">Authorized Push Payment (APP) Taxonomy: </w:t>
      </w:r>
      <w:r>
        <w:rPr>
          <w:b w:val="0"/>
          <w:color w:val="222222"/>
          <w:sz w:val="20"/>
        </w:rPr>
        <w:t>We analyzed national and international scam typologies, focusing on threat vectors prevalent in Indian digital banking. Our research mapped core social engineering mechanisms: authority impersonation (police/CBI/TRAI 'digital arrest' scams), technical support scams, utility disconnection threats, investment and part-time job schemes, and advance-fee lottery fraud.</w:t>
      </w:r>
    </w:p>
    <w:p>
      <w:pPr>
        <w:spacing w:after="120" w:before="20"/>
      </w:pPr>
      <w:r>
        <w:rPr>
          <w:b/>
          <w:color w:val="222222"/>
          <w:sz w:val="20"/>
        </w:rPr>
        <w:t xml:space="preserve">UPI &amp; Real-Time Payment Rails Architecture: </w:t>
      </w:r>
      <w:r>
        <w:rPr>
          <w:b w:val="0"/>
          <w:color w:val="222222"/>
          <w:sz w:val="20"/>
        </w:rPr>
        <w:t>We investigated the architectural constraints of the Unified Payments Interface (UPI) specification from NPCI, specifically message payloads, TPAP (Third-Party Application Provider) client flows, latency budgets (&lt;500ms target), and transaction confirmation hooks. This established that pre-authorization client interception is the only viable deployment locus.</w:t>
      </w:r>
    </w:p>
    <w:p>
      <w:pPr>
        <w:spacing w:after="120" w:before="20"/>
      </w:pPr>
      <w:r>
        <w:rPr>
          <w:b/>
          <w:color w:val="222222"/>
          <w:sz w:val="20"/>
        </w:rPr>
        <w:t xml:space="preserve">Behavioral Economics of Friction: </w:t>
      </w:r>
      <w:r>
        <w:rPr>
          <w:b w:val="0"/>
          <w:color w:val="222222"/>
          <w:sz w:val="20"/>
        </w:rPr>
        <w:t>We studied academic and industry literature on warning habituation and user compliance under social stress. This drove our graduated friction design (ALLOW/ADVISE/CHALLENGE/PAUSE/BLOCK), proving that dynamic, contextual evidence reports successfully interrupt the psychological manipulation loop.</w:t>
      </w:r>
    </w:p>
    <w:p>
      <w:pPr>
        <w:spacing w:after="120" w:before="20"/>
      </w:pPr>
      <w:r>
        <w:rPr>
          <w:b/>
          <w:color w:val="222222"/>
          <w:sz w:val="20"/>
        </w:rPr>
        <w:t xml:space="preserve">Architectural Isolation &amp; Adversarial Robustness: </w:t>
      </w:r>
      <w:r>
        <w:rPr>
          <w:b w:val="0"/>
          <w:color w:val="222222"/>
          <w:sz w:val="20"/>
        </w:rPr>
        <w:t>We researched prompt injection attack surfaces where malicious note text attempts to hijack LLM evaluators. Rather than relying solely on fragile prompt hygiene, we engineered structural defenses: strict data-instruction separation and an architectural safety invariant that prevents LLM outputs from overriding deterministic baseline blocks.</w:t>
      </w:r>
    </w:p>
    <w:p>
      <w:pPr>
        <w:spacing w:after="40" w:before="200"/>
      </w:pPr>
      <w:r>
        <w:rPr>
          <w:b/>
          <w:bCs/>
          <w:color w:val="222222"/>
          <w:sz w:val="20"/>
          <w:szCs w:val="20"/>
        </w:rPr>
        <w:t xml:space="preserve">Existing Solutions / Similar Work</w:t>
      </w:r>
    </w:p>
    <w:p>
      <w:pPr>
        <w:spacing w:after="60"/>
      </w:pPr>
      <w:r>
        <w:rPr>
          <w:i/>
          <w:iCs/>
          <w:color w:val="666666"/>
          <w:sz w:val="17"/>
          <w:szCs w:val="17"/>
        </w:rPr>
        <w:t xml:space="preserve">Mention existing solutions/projects related to your idea and how yours is different or improved.</w:t>
      </w:r>
    </w:p>
    <w:p>
      <w:pPr>
        <w:spacing w:after="120" w:before="20"/>
      </w:pPr>
      <w:r>
        <w:rPr>
          <w:b/>
          <w:color w:val="222222"/>
          <w:sz w:val="20"/>
        </w:rPr>
        <w:t xml:space="preserve">Traditional Banking Fraud Engines (FICO, FIS): </w:t>
      </w:r>
      <w:r>
        <w:rPr>
          <w:b w:val="0"/>
          <w:color w:val="222222"/>
          <w:sz w:val="20"/>
        </w:rPr>
        <w:t>Incumbent fraud engines evaluate transactional metadata, geolocation, and device fingerprints to catch unauthorized intrusions. They fail fundamentally on APP scams because all credential, biometric, and device parameters are legitimate. They cannot parse semantic note text or cross-verify payment intent.</w:t>
      </w:r>
    </w:p>
    <w:p>
      <w:pPr>
        <w:spacing w:after="120" w:before="20"/>
      </w:pPr>
      <w:r>
        <w:rPr>
          <w:b/>
          <w:color w:val="222222"/>
          <w:sz w:val="20"/>
        </w:rPr>
        <w:t xml:space="preserve">Confirmation of Payee (UK / International): </w:t>
      </w:r>
      <w:r>
        <w:rPr>
          <w:b w:val="0"/>
          <w:color w:val="222222"/>
          <w:sz w:val="20"/>
        </w:rPr>
        <w:t>Confirmation of Payee verifies account holder name strings between sending and receiving banks. While it catches basic spelling errors and account typos, it is blind to social engineering: a victim transferring funds to a scammer's mule account will see a valid recipient name confirmed, exacerbating false confidence.</w:t>
      </w:r>
    </w:p>
    <w:p>
      <w:pPr>
        <w:spacing w:after="120" w:before="20"/>
      </w:pPr>
      <w:r>
        <w:rPr>
          <w:b/>
          <w:color w:val="222222"/>
          <w:sz w:val="20"/>
        </w:rPr>
        <w:t xml:space="preserve">Existing UPI Warning Prompts (Google Pay, PhonePe, Paytm): </w:t>
      </w:r>
      <w:r>
        <w:rPr>
          <w:b w:val="0"/>
          <w:color w:val="222222"/>
          <w:sz w:val="20"/>
        </w:rPr>
        <w:t>Current applications display static warning dialogs for newly registered contacts. These dialogs are uniform, lack context, and suffer extreme user habituation. They do not evaluate whether a payment marked 'Electricity Bill' is being routed to an unverified personal savings account.</w:t>
      </w:r>
    </w:p>
    <w:p>
      <w:pPr>
        <w:spacing w:after="120" w:before="20"/>
      </w:pPr>
      <w:r/>
      <w:r>
        <w:rPr>
          <w:b/>
          <w:color w:val="222222"/>
          <w:sz w:val="20"/>
        </w:rPr>
        <w:t xml:space="preserve">Contemporary Multi-Agent Fraud Architectures: </w:t>
      </w:r>
      <w:r>
        <w:rPr>
          <w:b w:val="0"/>
          <w:color w:val="222222"/>
          <w:sz w:val="20"/>
        </w:rPr>
        <w:t>We evaluated multi-agent fraud detection research and prototypes. While exploring the parallel specialist paradigm, our design introduces crucial advancements: (a) we replaced self-assessed LLM confidence with a deterministic policy invariant, (b) we established strict purpose-versus-identity validation, and (c) we incorporated graduated human-in-the-loop friction rather than binary filtering.</w:t>
      </w:r>
    </w:p>
    <w:p>
      <w:pPr>
        <w:spacing w:after="40" w:before="200"/>
      </w:pPr>
      <w:r>
        <w:rPr>
          <w:b/>
          <w:bCs/>
          <w:color w:val="222222"/>
          <w:sz w:val="20"/>
          <w:szCs w:val="20"/>
        </w:rPr>
        <w:t xml:space="preserve">References / Sources</w:t>
      </w:r>
    </w:p>
    <w:p>
      <w:pPr>
        <w:spacing w:after="60"/>
      </w:pPr>
      <w:r>
        <w:rPr>
          <w:i/>
          <w:iCs/>
          <w:color w:val="666666"/>
          <w:sz w:val="17"/>
          <w:szCs w:val="17"/>
        </w:rPr>
        <w:t xml:space="preserve">Provide links to the important sources used during research.</w:t>
      </w:r>
    </w:p>
    <w:p>
      <w:pPr>
        <w:spacing w:after="120" w:before="20"/>
      </w:pPr>
      <w:r>
        <w:rPr>
          <w:b/>
          <w:color w:val="222222"/>
          <w:sz w:val="20"/>
        </w:rPr>
        <w:t xml:space="preserve">1. National Payments Corporation of India (NPCI): </w:t>
      </w:r>
      <w:r>
        <w:rPr>
          <w:b w:val="0"/>
          <w:color w:val="222222"/>
          <w:sz w:val="20"/>
        </w:rPr>
        <w:t>UPI System Specifications and Procedural Guidelines (https://www.npci.org.in)</w:t>
      </w:r>
    </w:p>
    <w:p>
      <w:pPr>
        <w:spacing w:after="120" w:before="20"/>
      </w:pPr>
      <w:r>
        <w:rPr>
          <w:b/>
          <w:color w:val="222222"/>
          <w:sz w:val="20"/>
        </w:rPr>
        <w:t xml:space="preserve">2. UK Payment Systems Regulator (PSR): </w:t>
      </w:r>
      <w:r>
        <w:rPr>
          <w:b w:val="0"/>
          <w:color w:val="222222"/>
          <w:sz w:val="20"/>
        </w:rPr>
        <w:t>Authorized Push Payment (APP) Fraud Mandatory Reimbursement Requirement (https://www.psr.org.uk)</w:t>
      </w:r>
    </w:p>
    <w:p>
      <w:pPr>
        <w:spacing w:after="120" w:before="20"/>
      </w:pPr>
      <w:r>
        <w:rPr>
          <w:b/>
          <w:color w:val="222222"/>
          <w:sz w:val="20"/>
        </w:rPr>
        <w:t xml:space="preserve">3. Reserve Bank of India (RBI): </w:t>
      </w:r>
      <w:r>
        <w:rPr>
          <w:b w:val="0"/>
          <w:color w:val="222222"/>
          <w:sz w:val="20"/>
        </w:rPr>
        <w:t>Master Directions on Digital Payment Security Controls &amp; Cyber Resilience Guidelines</w:t>
      </w:r>
    </w:p>
    <w:p>
      <w:pPr>
        <w:spacing w:after="120" w:before="20"/>
      </w:pPr>
      <w:r/>
      <w:r>
        <w:rPr>
          <w:b/>
          <w:color w:val="222222"/>
          <w:sz w:val="20"/>
        </w:rPr>
        <w:t xml:space="preserve">4. IEEE / ACM Research on Multi-Agent Financial Crime Detection: </w:t>
      </w:r>
      <w:r>
        <w:rPr>
          <w:b w:val="0"/>
          <w:color w:val="222222"/>
          <w:sz w:val="20"/>
        </w:rPr>
        <w:t>Autonomous Risk Reasoning and Real-Time Graph Intelligence</w:t>
      </w:r>
    </w:p>
    <w:p>
      <w:pPr>
        <w:spacing w:after="120" w:before="20"/>
      </w:pPr>
      <w:r>
        <w:rPr>
          <w:b/>
          <w:color w:val="222222"/>
          <w:sz w:val="20"/>
        </w:rPr>
        <w:t xml:space="preserve">5. CERT-In / Indian Cyber Crime Coordination Centre (I4C): </w:t>
      </w:r>
      <w:r>
        <w:rPr>
          <w:b w:val="0"/>
          <w:color w:val="222222"/>
          <w:sz w:val="20"/>
        </w:rPr>
        <w:t>National Cybercrime Advisory on Digital Arrest &amp; Impersonation Scams</w:t>
      </w:r>
    </w:p>
    <w:p>
      <w:pPr>
        <w:spacing w:after="120" w:before="20"/>
      </w:pPr>
      <w:r>
        <w:rPr>
          <w:b/>
          <w:color w:val="222222"/>
          <w:sz w:val="20"/>
        </w:rPr>
        <w:t xml:space="preserve">6. Federal Trade Commission (FTC) &amp; CFPB: </w:t>
      </w:r>
      <w:r>
        <w:rPr>
          <w:b w:val="0"/>
          <w:color w:val="222222"/>
          <w:sz w:val="20"/>
        </w:rPr>
        <w:t>Consumer Sentinel Network Fraud Reports and Social Engineering Typologies</w:t>
      </w:r>
    </w:p>
    <w:p>
      <w:pPr>
        <w:spacing w:after="120" w:before="20"/>
      </w:pPr>
      <w:r>
        <w:rPr>
          <w:b/>
          <w:color w:val="222222"/>
          <w:sz w:val="20"/>
        </w:rPr>
        <w:t xml:space="preserve">7. Real-Time Fraud Detection in Digital Banking: </w:t>
      </w:r>
      <w:r>
        <w:rPr>
          <w:b w:val="0"/>
          <w:color w:val="222222"/>
          <w:sz w:val="20"/>
        </w:rPr>
        <w:t>IEEE / ACM Academic Literature on Transaction Risk Scoring &amp; Behavioral Biometrics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4 — TECHNICAL DOCUMENTATION</w:t>
            </w:r>
          </w:p>
        </w:tc>
      </w:tr>
    </w:tbl>
    <w:p>
      <w:pPr>
        <w:spacing w:before="120"/>
      </w:pPr>
    </w:p>
    <w:p>
      <w:pPr>
        <w:spacing w:after="40" w:before="200"/>
      </w:pPr>
      <w:r>
        <w:rPr>
          <w:b/>
          <w:bCs/>
          <w:color w:val="222222"/>
          <w:sz w:val="20"/>
          <w:szCs w:val="20"/>
        </w:rPr>
        <w:t xml:space="preserve">Technology Stack</w:t>
      </w:r>
    </w:p>
    <w:p>
      <w:pPr>
        <w:spacing w:after="60"/>
      </w:pPr>
      <w:r>
        <w:rPr>
          <w:i/>
          <w:iCs/>
          <w:color w:val="666666"/>
          <w:sz w:val="17"/>
          <w:szCs w:val="17"/>
        </w:rPr>
        <w:t xml:space="preserve">Languages, frameworks, libraries, databases, APIs, cloud services, AI/ML models, etc.</w:t>
      </w:r>
    </w:p>
    <w:p>
      <w:pPr>
        <w:spacing w:after="120" w:before="20"/>
      </w:pPr>
      <w:r>
        <w:rPr>
          <w:b/>
          <w:color w:val="222222"/>
          <w:sz w:val="20"/>
        </w:rPr>
        <w:t xml:space="preserve">• Programming Language: </w:t>
      </w:r>
      <w:r>
        <w:rPr>
          <w:b w:val="0"/>
          <w:color w:val="222222"/>
          <w:sz w:val="20"/>
        </w:rPr>
        <w:t>Python 3.11+ (asyncio concurrent execution, typing, dataclasses)</w:t>
      </w:r>
    </w:p>
    <w:p>
      <w:pPr>
        <w:spacing w:after="120" w:before="20"/>
      </w:pPr>
      <w:r>
        <w:rPr>
          <w:b/>
          <w:color w:val="222222"/>
          <w:sz w:val="20"/>
        </w:rPr>
        <w:t xml:space="preserve">• Machine Learning &amp; Tabular Risk: </w:t>
      </w:r>
      <w:r>
        <w:rPr>
          <w:b w:val="0"/>
          <w:color w:val="222222"/>
          <w:sz w:val="20"/>
        </w:rPr>
        <w:t>Scikit-learn (GradientBoostingClassifier), NumPy, Pandas</w:t>
      </w:r>
    </w:p>
    <w:p>
      <w:pPr>
        <w:spacing w:after="120" w:before="20"/>
      </w:pPr>
      <w:r>
        <w:rPr>
          <w:b/>
          <w:color w:val="222222"/>
          <w:sz w:val="20"/>
        </w:rPr>
        <w:t xml:space="preserve">• LLM Reasoning &amp; Multi-Agent Layer: </w:t>
      </w:r>
      <w:r>
        <w:rPr>
          <w:b w:val="0"/>
          <w:color w:val="222222"/>
          <w:sz w:val="20"/>
        </w:rPr>
        <w:t>OpenAI-compatible LLM API, Pydantic JSON Schema validation</w:t>
      </w:r>
    </w:p>
    <w:p>
      <w:pPr>
        <w:spacing w:after="120" w:before="20"/>
      </w:pPr>
      <w:r>
        <w:rPr>
          <w:b/>
          <w:color w:val="222222"/>
          <w:sz w:val="20"/>
        </w:rPr>
        <w:t xml:space="preserve">• Vector Store &amp; Semantic Retrieval: </w:t>
      </w:r>
      <w:r>
        <w:rPr>
          <w:b w:val="0"/>
          <w:color w:val="222222"/>
          <w:sz w:val="20"/>
        </w:rPr>
        <w:t>Sentence-Transformers (all-MiniLM-L6-v2) for cosine similarity RAG</w:t>
      </w:r>
    </w:p>
    <w:p>
      <w:pPr>
        <w:spacing w:after="120" w:before="20"/>
      </w:pPr>
      <w:r>
        <w:rPr>
          <w:b/>
          <w:color w:val="222222"/>
          <w:sz w:val="20"/>
        </w:rPr>
        <w:t xml:space="preserve">• Security &amp; Audit Logging: </w:t>
      </w:r>
      <w:r>
        <w:rPr>
          <w:b w:val="0"/>
          <w:color w:val="222222"/>
          <w:sz w:val="20"/>
        </w:rPr>
        <w:t>Python hashlib (SHA-256 cryptographic hash-chained append-only log)</w:t>
      </w:r>
    </w:p>
    <w:p>
      <w:pPr>
        <w:spacing w:after="120" w:before="20"/>
      </w:pPr>
      <w:r>
        <w:rPr>
          <w:b/>
          <w:color w:val="222222"/>
          <w:sz w:val="20"/>
        </w:rPr>
        <w:t xml:space="preserve">• Simulation &amp; Interactive Interface: </w:t>
      </w:r>
      <w:r>
        <w:rPr>
          <w:b w:val="0"/>
          <w:color w:val="222222"/>
          <w:sz w:val="20"/>
        </w:rPr>
        <w:t>Interactive payment simulation harness for real-time scenario testing</w:t>
      </w:r>
    </w:p>
    <w:p>
      <w:pPr>
        <w:spacing w:after="120" w:before="20"/>
      </w:pPr>
      <w:r>
        <w:rPr>
          <w:b/>
          <w:color w:val="222222"/>
          <w:sz w:val="20"/>
        </w:rPr>
        <w:t xml:space="preserve">• Data Architecture: </w:t>
      </w:r>
      <w:r>
        <w:rPr>
          <w:b w:val="0"/>
          <w:color w:val="222222"/>
          <w:sz w:val="20"/>
        </w:rPr>
        <w:t>Fully synthetic scenario suite and project-authored scam typology corpus</w:t>
      </w:r>
    </w:p>
    <w:p>
      <w:pPr>
        <w:spacing w:after="120" w:before="20"/>
      </w:pPr>
      <w:r>
        <w:rPr>
          <w:b/>
          <w:color w:val="222222"/>
          <w:sz w:val="20"/>
        </w:rPr>
        <w:t xml:space="preserve">• Version Control &amp; Repository: </w:t>
      </w:r>
      <w:r>
        <w:rPr>
          <w:b w:val="0"/>
          <w:color w:val="222222"/>
          <w:sz w:val="20"/>
        </w:rPr>
        <w:t>Git / GitHub (https://github.com/Laukikrathod2007/KURUKSHETRA_2.0_HACKFEST)</w:t>
      </w:r>
    </w:p>
    <w:p>
      <w:pPr>
        <w:spacing w:after="40" w:before="200"/>
      </w:pPr>
      <w:r>
        <w:rPr>
          <w:b/>
          <w:bCs/>
          <w:color w:val="222222"/>
          <w:sz w:val="20"/>
          <w:szCs w:val="20"/>
        </w:rPr>
        <w:t xml:space="preserve">Technical Flow / System Architecture Diagram</w:t>
      </w:r>
    </w:p>
    <w:p>
      <w:pPr>
        <w:spacing w:after="60"/>
      </w:pPr>
      <w:r>
        <w:rPr>
          <w:i/>
          <w:iCs/>
          <w:color w:val="666666"/>
          <w:sz w:val="17"/>
          <w:szCs w:val="17"/>
        </w:rPr>
        <w:t xml:space="preserve">Attach / paste your architecture diagram below.</w:t>
      </w:r>
    </w:p>
    <w:tbl>
      <w:tblPr>
        <w:tblW w:type="dxa" w:w="10466"/>
        <w:tblBorders>
          <w:top w:val="single" w:color="999999" w:sz="6"/>
          <w:left w:val="single" w:color="999999" w:sz="6"/>
          <w:bottom w:val="single" w:color="999999" w:sz="6"/>
          <w:right w:val="single" w:color="999999" w:sz="6"/>
          <w:insideH w:val="single" w:color="auto" w:sz="4"/>
          <w:insideV w:val="single" w:color="auto" w:sz="4"/>
        </w:tblBorders>
      </w:tblPr>
      <w:tblGrid>
        <w:gridCol w:w="10466"/>
      </w:tblGrid>
      <w:tr>
        <w:trPr>
          <w:trHeight w:val="2200" w:hRule="atLeast"/>
        </w:trPr>
        <w:tc>
          <w:tcPr>
            <w:tcW w:type="dxa" w:w="10466"/>
            <w:shd w:fill="F6F1E7" w:color="auto" w:val="clear"/>
            <w:vAlign w:val="center"/>
          </w:tcPr>
          <w:p>
            <w:r>
              <w:rPr>
                <w:rFonts w:ascii="Courier New" w:hAnsi="Courier New"/>
                <w:b w:val="0"/>
                <w:color w:val="333333"/>
                <w:sz w:val="14"/>
              </w:rPr>
              <w:t>+---------------------------------------------------------------------------------------+</w:t>
              <w:br/>
              <w:t>|                           PAYMENT SIMULATOR INTERFACE (UI)                            |</w:t>
              <w:br/>
              <w:t>| Captures draft: sender_id, recipient_id, amount_inr, note_text, timestamp             |</w:t>
              <w:br/>
              <w:t>+---------------------------------------------------------------------------------------+</w:t>
              <w:br/>
              <w:t xml:space="preserve">                                            |</w:t>
              <w:br/>
              <w:t xml:space="preserve">                                            v</w:t>
              <w:br/>
              <w:t>+---------------------------------------------------------------------------------------+</w:t>
              <w:br/>
              <w:t>|                              HOT PATH (Deterministic + ML)                            |</w:t>
              <w:br/>
              <w:t>|  * Hard Blocklist Lookup: Instant match -&gt; Immediate BLOCK &amp; Audit Log                |</w:t>
              <w:br/>
              <w:t>|  * Recipient Registry Resolution: (individual_personal / registered_merchant)         |</w:t>
              <w:br/>
              <w:t>|  * Purpose Classification: Derives declared category from note text                   |</w:t>
              <w:br/>
              <w:t>|  * Rolling-Window Velocity Extraction: 1-hour and 24-hour transaction totals           |</w:t>
              <w:br/>
              <w:t>|  * GBT Risk Model Inference: Computes feature vector -&gt; hot_score, hot_tier           |</w:t>
              <w:br/>
              <w:t>+---------------------------------------------------------------------------------------+</w:t>
              <w:br/>
              <w:t xml:space="preserve">                     |                                               |</w:t>
              <w:br/>
              <w:t xml:space="preserve">                     +-- (Confidently LOW Risk: score &lt;= 25)         | (Ambiguous / Elevated)</w:t>
              <w:br/>
              <w:t xml:space="preserve">                     |                                               v</w:t>
              <w:br/>
              <w:t xml:space="preserve">                     v                         +-----------------------------------------+</w:t>
              <w:br/>
              <w:t xml:space="preserve">        [ ALLOW (Zero Friction) ]              |      WARM PATH (Multi-Specialist Agent) |</w:t>
              <w:br/>
              <w:t xml:space="preserve">                     |                         |  Concurrent Execution of 4 Specialists: |</w:t>
              <w:br/>
              <w:t xml:space="preserve">                     |                         |  1. Identity &amp; Purpose Specialist       |</w:t>
              <w:br/>
              <w:t xml:space="preserve">                     |                         |  2. Linguistic Manipulation Specialist  |</w:t>
              <w:br/>
              <w:t xml:space="preserve">                     |                         |  3. Behavioral Velocity Specialist      |</w:t>
              <w:br/>
              <w:t xml:space="preserve">                     |                         |  4. Historical Pattern Specialist (RAG) |</w:t>
              <w:br/>
              <w:t xml:space="preserve">                     |                         |                   |                     |</w:t>
              <w:br/>
              <w:t xml:space="preserve">                     |                         |  [ Specialist Coordinator Agent ]       |</w:t>
              <w:br/>
              <w:t xml:space="preserve">                     |                         |  Synthesizes single structured verdict  |</w:t>
              <w:br/>
              <w:t xml:space="preserve">                     |                         +-----------------------------------------+</w:t>
              <w:br/>
              <w:t xml:space="preserve">                     |                                               |</w:t>
              <w:br/>
              <w:t xml:space="preserve">                     +-----------------------+-----------------------+</w:t>
              <w:br/>
              <w:t xml:space="preserve">                                             |</w:t>
              <w:br/>
              <w:t xml:space="preserve">                                             v</w:t>
              <w:br/>
              <w:t>+---------------------------------------------------------------------------------------+</w:t>
              <w:br/>
              <w:t>|                             DETERMINISTIC POLICY ENGINE                               |</w:t>
              <w:br/>
              <w:t>|  Final Tier = max(hot_tier, agent_recommendation)                                     |</w:t>
              <w:br/>
              <w:t>|  Safety Invariant: LLM agent can only raise risk, never lower baseline caution        |</w:t>
              <w:br/>
              <w:t>|  Action Mapping: ALLOW  |  ADVISE  |  CHALLENGE  |  PAUSE  |  BLOCK                   |</w:t>
              <w:br/>
              <w:t>+---------------------------------------------------------------------------------------+</w:t>
              <w:br/>
              <w:t xml:space="preserve">                     |                                               |</w:t>
              <w:br/>
              <w:t xml:space="preserve">                     v                                               v</w:t>
              <w:br/>
              <w:t>+-----------------------------------------+     +---------------------------------------+</w:t>
              <w:br/>
              <w:t>|          EXPLAINABILITY ENGINE          |     |        TAMPER-EVIDENT AUDIT LOG       |</w:t>
              <w:br/>
              <w:t>|  Plain-language factual evidence report |     |  Cryptographically chained (SHA-256)  |</w:t>
              <w:br/>
              <w:t>|  and graduated human-in-the-loop UI     |     |  Immutable record of complete verdict |</w:t>
              <w:br/>
              <w:t>+-----------------------------------------+     +---------------------------------------+</w:t>
              <w:br/>
            </w:r>
          </w:p>
        </w:tc>
      </w:tr>
    </w:tbl>
    <w:p>
      <w:pPr>
        <w:spacing w:after="200"/>
      </w:pPr>
    </w:p>
    <w:p>
      <w:pPr>
        <w:spacing w:after="40" w:before="200"/>
      </w:pPr>
      <w:r>
        <w:rPr>
          <w:b/>
          <w:bCs/>
          <w:color w:val="222222"/>
          <w:sz w:val="20"/>
          <w:szCs w:val="20"/>
        </w:rPr>
        <w:t xml:space="preserve">Working / Implementation Approach</w:t>
      </w:r>
    </w:p>
    <w:p>
      <w:pPr>
        <w:spacing w:after="60"/>
      </w:pPr>
      <w:r>
        <w:rPr>
          <w:i/>
          <w:iCs/>
          <w:color w:val="666666"/>
          <w:sz w:val="17"/>
          <w:szCs w:val="17"/>
        </w:rPr>
        <w:t xml:space="preserve">Explain how your system works from input to output.</w:t>
      </w:r>
    </w:p>
    <w:p>
      <w:pPr>
        <w:spacing w:after="120" w:before="20"/>
      </w:pPr>
      <w:r>
        <w:rPr>
          <w:b/>
          <w:color w:val="222222"/>
          <w:sz w:val="20"/>
        </w:rPr>
        <w:t xml:space="preserve">Step 1 -- Payment Composition &amp; Interception: </w:t>
      </w:r>
      <w:r>
        <w:rPr>
          <w:b w:val="0"/>
          <w:color w:val="222222"/>
          <w:sz w:val="20"/>
        </w:rPr>
        <w:t>The client application captures the payment transaction parameters: sender ID, recipient ID, transaction amount in INR, user-supplied note text, and client timestamp. Before submitting the payload to the payment rail, the client delegates the transaction to Agentic Guardian for pre-authorization inspection.</w:t>
      </w:r>
    </w:p>
    <w:p>
      <w:pPr>
        <w:spacing w:after="120" w:before="20"/>
      </w:pPr>
      <w:r>
        <w:rPr>
          <w:b/>
          <w:color w:val="222222"/>
          <w:sz w:val="20"/>
        </w:rPr>
        <w:t xml:space="preserve">Step 2 -- Hot-Path Pre-Filtering: </w:t>
      </w:r>
      <w:r>
        <w:rPr>
          <w:b w:val="0"/>
          <w:color w:val="222222"/>
          <w:sz w:val="20"/>
        </w:rPr>
        <w:t>In under 15 milliseconds, the system performs fast deterministic checks: (a) Hard Blocklist: immediate BLOCK if the destination account matches known fraudulent records; (b) Recipient Registry: looks up recipient category (individual personal vs registered merchant/biller) and account age; (c) Velocity Extraction: computes rolling transaction count and cumulative amount across 1-hour and 24-hour windows; (d) GBT Model Scoring: evaluates the feature vector and outputs a numerical hot_score (0-100) and risk tier. Benign, low-risk payments are cleared instantly with zero friction.</w:t>
      </w:r>
    </w:p>
    <w:p>
      <w:pPr>
        <w:spacing w:after="120" w:before="20"/>
      </w:pPr>
      <w:r>
        <w:rPr>
          <w:b/>
          <w:color w:val="222222"/>
          <w:sz w:val="20"/>
        </w:rPr>
        <w:t xml:space="preserve">Step 3 -- Warm-Path Specialist Reasoning: </w:t>
      </w:r>
      <w:r>
        <w:rPr>
          <w:b w:val="0"/>
          <w:color w:val="222222"/>
          <w:sz w:val="20"/>
        </w:rPr>
        <w:t>When a transaction exhibits ambiguity, elevated amounts, or unfamiliar recipients, the orchestrator invokes four concurrent LLM specialists: (1) Identity &amp; Purpose Specialist checks whether the recipient's verified account type matches the declared note purpose; (2) Linguistic Manipulation Specialist inspects the note for urgency, secrecy demands, and authority impersonation cues; (3) Behavioral Velocity Specialist detects multi-tranche structuring; (4) Historical Pattern Specialist executes embedding similarity search against documented scam typologies.</w:t>
      </w:r>
    </w:p>
    <w:p>
      <w:pPr>
        <w:spacing w:after="120" w:before="20"/>
      </w:pPr>
      <w:r>
        <w:rPr>
          <w:b/>
          <w:color w:val="222222"/>
          <w:sz w:val="20"/>
        </w:rPr>
        <w:t xml:space="preserve">Step 4 -- Coordinator Synthesis &amp; Policy Enforcement: </w:t>
      </w:r>
      <w:r>
        <w:rPr>
          <w:b w:val="0"/>
          <w:color w:val="222222"/>
          <w:sz w:val="20"/>
        </w:rPr>
        <w:t>The Coordinator synthesizes specialist findings into a single structured JSON schema containing scam typology classification, observed manipulation cues, specialist consensus level, and a recommended tier adjustment. The Deterministic Policy Engine computes the final tier as max(hot_tier, agent_recommendation), strictly forbidding the LLM from lowering the baseline risk.</w:t>
      </w:r>
    </w:p>
    <w:p>
      <w:pPr>
        <w:spacing w:after="120" w:before="20"/>
      </w:pPr>
      <w:r>
        <w:rPr>
          <w:b/>
          <w:color w:val="222222"/>
          <w:sz w:val="20"/>
        </w:rPr>
        <w:t xml:space="preserve">Step 5 -- Explainable Intervention &amp; Cryptographic Audit: </w:t>
      </w:r>
      <w:r>
        <w:rPr>
          <w:b w:val="0"/>
          <w:color w:val="222222"/>
          <w:sz w:val="20"/>
        </w:rPr>
        <w:t>The Explainability Engine generates a factual, non-accusatory evidence report. The interface presents graduated friction: ALLOW (immediate execution), ADVISE (informational banner), CHALLENGE (mandatory interactive confirmation), PAUSE (high-friction hold with required justification override), or BLOCK (hard abort). Upon user resolution, the full transaction record is sealed in an append-only, SHA-256 hash-chained audit log.</w:t>
      </w:r>
    </w:p>
    <w:p>
      <w:pPr>
        <w:spacing w:after="40" w:before="200"/>
      </w:pPr>
      <w:r>
        <w:rPr>
          <w:b/>
          <w:bCs/>
          <w:color w:val="222222"/>
          <w:sz w:val="20"/>
          <w:szCs w:val="20"/>
        </w:rPr>
        <w:t xml:space="preserve">AI/ML Details (if applicable)</w:t>
      </w:r>
    </w:p>
    <w:p>
      <w:pPr>
        <w:spacing w:after="60"/>
      </w:pPr>
      <w:r>
        <w:rPr>
          <w:i/>
          <w:iCs/>
          <w:color w:val="666666"/>
          <w:sz w:val="17"/>
          <w:szCs w:val="17"/>
        </w:rPr>
        <w:t xml:space="preserve">Dataset, model, training approach, APIs/models used, evaluation, etc.</w:t>
      </w:r>
    </w:p>
    <w:p>
      <w:pPr>
        <w:spacing w:after="120" w:before="20"/>
      </w:pPr>
      <w:r>
        <w:rPr>
          <w:b/>
          <w:color w:val="222222"/>
          <w:sz w:val="20"/>
        </w:rPr>
        <w:t xml:space="preserve">Tabular Risk Model (Hot Path): </w:t>
      </w:r>
      <w:r>
        <w:rPr>
          <w:b w:val="0"/>
          <w:color w:val="222222"/>
          <w:sz w:val="20"/>
        </w:rPr>
        <w:t>The tabular classifier utilizes a Scikit-learn GradientBoostingClassifier trained on a synthetic dataset of 5,000+ transaction records generated from parameterized statistical distributions. The dataset incorporates typical spending patterns, unusual but benign spikes, and various scam injection profiles. Features include amount z-score deviation, recipient account tenure, purpose-identity mismatch binary flag, and 1h/24h velocity metrics. Evaluation is conducted on a held-out test split, ensuring accurate probability calibration.</w:t>
      </w:r>
    </w:p>
    <w:p>
      <w:pPr>
        <w:spacing w:after="120" w:before="20"/>
      </w:pPr>
      <w:r>
        <w:rPr>
          <w:b/>
          <w:color w:val="222222"/>
          <w:sz w:val="20"/>
        </w:rPr>
        <w:t xml:space="preserve">Multi-Specialist Agent Architecture (Warm Path): </w:t>
      </w:r>
      <w:r>
        <w:rPr>
          <w:b w:val="0"/>
          <w:color w:val="222222"/>
          <w:sz w:val="20"/>
        </w:rPr>
        <w:t>The agent ensemble comprises four narrow, single-responsibility components communicating via strict Pydantic JSON schemas. System prompts enforce strict operational bounds: specialists are explicitly informed that they hold zero approval authority. Untrusted payment note text is strictly encapsulated inside data delimiters, mitigating prompt injection attacks.</w:t>
      </w:r>
    </w:p>
    <w:p>
      <w:pPr>
        <w:spacing w:after="120" w:before="20"/>
      </w:pPr>
      <w:r>
        <w:rPr>
          <w:b/>
          <w:color w:val="222222"/>
          <w:sz w:val="20"/>
        </w:rPr>
        <w:t xml:space="preserve">Scam Typology RAG Retrieval: </w:t>
      </w:r>
      <w:r>
        <w:rPr>
          <w:b w:val="0"/>
          <w:color w:val="222222"/>
          <w:sz w:val="20"/>
        </w:rPr>
        <w:t>A curated vector store contains documented scam typologies (tech support, investment/pig-butchering, electricity bill threat, digital arrest, job fee, advance-fee lottery). Queries are evaluated using cosine similarity with an empirical floor of 0.65 to prevent forced hallucinated matches.</w:t>
      </w:r>
    </w:p>
    <w:p>
      <w:pPr>
        <w:spacing w:after="120" w:before="20"/>
      </w:pPr>
      <w:r>
        <w:rPr>
          <w:b/>
          <w:color w:val="222222"/>
          <w:sz w:val="20"/>
        </w:rPr>
        <w:t xml:space="preserve">Evaluation &amp; Safety Verification: </w:t>
      </w:r>
      <w:r>
        <w:rPr>
          <w:b w:val="0"/>
          <w:color w:val="222222"/>
          <w:sz w:val="20"/>
        </w:rPr>
        <w:t>We report performance strictly on our documented synthetic scenario suite, avoiding fabricated real-world banking statistics. The core safety invariant (final_tier &gt;= hot_tier) is verified through automated programmatic unit assertions across all test cases.</w:t>
      </w:r>
    </w:p>
    <w:p>
      <w:pPr>
        <w:spacing w:after="40" w:before="200"/>
      </w:pPr>
      <w:r>
        <w:rPr>
          <w:b/>
          <w:bCs/>
          <w:color w:val="222222"/>
          <w:sz w:val="20"/>
          <w:szCs w:val="20"/>
        </w:rPr>
        <w:t xml:space="preserve">GitHub Repository Link</w:t>
      </w:r>
    </w:p>
    <w:p>
      <w:pPr>
        <w:spacing w:after="60"/>
      </w:pPr>
      <w:r>
        <w:rPr>
          <w:i/>
          <w:iCs/>
          <w:color w:val="666666"/>
          <w:sz w:val="17"/>
          <w:szCs w:val="17"/>
        </w:rPr>
        <w:t xml:space="preserve">Provide the team's public GitHub repository URL.</w:t>
      </w:r>
    </w:p>
    <w:p>
      <w:pPr>
        <w:spacing w:after="120" w:before="20"/>
      </w:pPr>
      <w:r>
        <w:rPr>
          <w:b w:val="0"/>
          <w:color w:val="222222"/>
          <w:sz w:val="20"/>
        </w:rPr>
        <w:t>https://github.com/Laukikrathod2007/KURUKSHETRA_2.0_HACKFEST</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5 — ORIGINALITY &amp; PLAGIARISM DECLARATION</w:t>
            </w:r>
          </w:p>
        </w:tc>
      </w:tr>
    </w:tbl>
    <w:p>
      <w:pPr>
        <w:spacing w:after="100" w:before="160"/>
      </w:pPr>
    </w:p>
    <w:p>
      <w:pPr>
        <w:spacing w:after="100"/>
      </w:pPr>
      <w:r>
        <w:rPr>
          <w:b/>
          <w:color w:val="222222"/>
          <w:sz w:val="20"/>
        </w:rPr>
        <w:t>☑  I confirm that the solution submitted by our team is developed during the hackathon. We have not submitted a pre-built project as our primary solution. Any open-source code, APIs, datasets, libraries, templates, or AI-assisted development used by us have been appropriately acknowledged.</w:t>
      </w:r>
    </w:p>
    <w:p>
      <w:pPr>
        <w:spacing w:after="160"/>
      </w:pPr>
    </w:p>
    <w:p>
      <w:pPr>
        <w:spacing w:after="40" w:before="200"/>
      </w:pPr>
      <w:r>
        <w:rPr>
          <w:b/>
          <w:bCs/>
          <w:color w:val="222222"/>
          <w:sz w:val="20"/>
          <w:szCs w:val="20"/>
        </w:rPr>
        <w:t xml:space="preserve">Open-Source / External Resources Used</w:t>
      </w:r>
    </w:p>
    <w:p>
      <w:pPr>
        <w:spacing w:after="60"/>
      </w:pPr>
      <w:r>
        <w:rPr>
          <w:i/>
          <w:iCs/>
          <w:color w:val="666666"/>
          <w:sz w:val="17"/>
          <w:szCs w:val="17"/>
        </w:rPr>
        <w:t xml:space="preserve">GitHub repositories, code snippets, templates, APIs, datasets, models, or other external resources used.</w:t>
      </w:r>
    </w:p>
    <w:p>
      <w:pPr>
        <w:spacing w:after="120" w:before="20"/>
      </w:pPr>
      <w:r>
        <w:rPr>
          <w:b/>
          <w:color w:val="222222"/>
          <w:sz w:val="20"/>
        </w:rPr>
        <w:t xml:space="preserve">• scikit-learn (BSD-3-Clause): </w:t>
      </w:r>
      <w:r>
        <w:rPr>
          <w:b w:val="0"/>
          <w:color w:val="222222"/>
          <w:sz w:val="20"/>
        </w:rPr>
        <w:t>GradientBoostingClassifier utilized for the hot-path tabular risk model.</w:t>
      </w:r>
    </w:p>
    <w:p>
      <w:pPr>
        <w:spacing w:after="120" w:before="20"/>
      </w:pPr>
      <w:r>
        <w:rPr>
          <w:b/>
          <w:color w:val="222222"/>
          <w:sz w:val="20"/>
        </w:rPr>
        <w:t xml:space="preserve">• sentence-transformers (Apache 2.0): </w:t>
      </w:r>
      <w:r>
        <w:rPr>
          <w:b w:val="0"/>
          <w:color w:val="222222"/>
          <w:sz w:val="20"/>
        </w:rPr>
        <w:t>Embedding generation for the scam typology vector store.</w:t>
      </w:r>
    </w:p>
    <w:p>
      <w:pPr>
        <w:spacing w:after="120" w:before="20"/>
      </w:pPr>
      <w:r/>
      <w:r>
        <w:rPr>
          <w:b/>
          <w:color w:val="222222"/>
          <w:sz w:val="20"/>
        </w:rPr>
        <w:t xml:space="preserve">• Contemporary Multi-Agent Research: </w:t>
      </w:r>
      <w:r>
        <w:rPr>
          <w:b w:val="0"/>
          <w:color w:val="222222"/>
          <w:sz w:val="20"/>
        </w:rPr>
        <w:t>Conceptual literature on parallel specialist decomposition; we engineered our own codebase from scratch with a static typology corpus and deterministic policy supremacy.</w:t>
      </w:r>
    </w:p>
    <w:p>
      <w:pPr>
        <w:spacing w:after="120" w:before="20"/>
      </w:pPr>
      <w:r>
        <w:rPr>
          <w:b/>
          <w:color w:val="222222"/>
          <w:sz w:val="20"/>
        </w:rPr>
        <w:t xml:space="preserve">• NumPy &amp; Pandas (BSD): </w:t>
      </w:r>
      <w:r>
        <w:rPr>
          <w:b w:val="0"/>
          <w:color w:val="222222"/>
          <w:sz w:val="20"/>
        </w:rPr>
        <w:t>Statistical calculations and synthetic dataset manipulation.</w:t>
      </w:r>
    </w:p>
    <w:p>
      <w:pPr>
        <w:spacing w:after="120" w:before="20"/>
      </w:pPr>
      <w:r>
        <w:rPr>
          <w:b/>
          <w:color w:val="222222"/>
          <w:sz w:val="20"/>
        </w:rPr>
        <w:t xml:space="preserve">• Python standard library (hashlib, asyncio, dataclasses): </w:t>
      </w:r>
      <w:r>
        <w:rPr>
          <w:b w:val="0"/>
          <w:color w:val="222222"/>
          <w:sz w:val="20"/>
        </w:rPr>
        <w:t>Core concurrency and SHA-256 cryptographic hash chaining.</w:t>
      </w:r>
    </w:p>
    <w:p>
      <w:pPr>
        <w:spacing w:after="120" w:before="20"/>
      </w:pPr>
      <w:r>
        <w:rPr>
          <w:b/>
          <w:color w:val="222222"/>
          <w:sz w:val="20"/>
        </w:rPr>
        <w:t xml:space="preserve">• Data Disclosure: </w:t>
      </w:r>
      <w:r>
        <w:rPr>
          <w:b w:val="0"/>
          <w:color w:val="222222"/>
          <w:sz w:val="20"/>
        </w:rPr>
        <w:t>All user profiles, transaction histories, recipient directories, and scam scenarios are entirely synthetic and project-authored. No real user or confidential banking data is utilized.</w:t>
      </w:r>
    </w:p>
    <w:p>
      <w:pPr>
        <w:spacing w:after="40" w:before="200"/>
      </w:pPr>
      <w:r>
        <w:rPr>
          <w:b/>
          <w:bCs/>
          <w:color w:val="222222"/>
          <w:sz w:val="20"/>
          <w:szCs w:val="20"/>
        </w:rPr>
        <w:t xml:space="preserve">AI Tools Used</w:t>
      </w:r>
    </w:p>
    <w:p>
      <w:pPr>
        <w:spacing w:after="60"/>
      </w:pPr>
      <w:r>
        <w:rPr>
          <w:i/>
          <w:iCs/>
          <w:color w:val="666666"/>
          <w:sz w:val="17"/>
          <w:szCs w:val="17"/>
        </w:rPr>
        <w:t xml:space="preserve">Mention AI tools used during development, if any, and briefly explain how they were used.</w:t>
      </w:r>
    </w:p>
    <w:p>
      <w:pPr>
        <w:spacing w:after="120" w:before="20"/>
      </w:pPr>
      <w:r>
        <w:rPr>
          <w:b/>
          <w:color w:val="222222"/>
          <w:sz w:val="20"/>
        </w:rPr>
        <w:t xml:space="preserve">• OpenAI-Compatible LLM API: </w:t>
      </w:r>
      <w:r>
        <w:rPr>
          <w:b w:val="0"/>
          <w:color w:val="222222"/>
          <w:sz w:val="20"/>
        </w:rPr>
        <w:t>Powers the four specialist reasoning agents and coordinator in the warm path, operating with bounded tool-calling schemas and deterministic output constraints.</w:t>
      </w:r>
    </w:p>
    <w:p>
      <w:pPr>
        <w:spacing w:after="120" w:before="20"/>
      </w:pPr>
      <w:r>
        <w:rPr>
          <w:b/>
          <w:color w:val="222222"/>
          <w:sz w:val="20"/>
        </w:rPr>
        <w:t xml:space="preserve">• Google Gemini 1.5 &amp; Antigravity IDE: </w:t>
      </w:r>
      <w:r>
        <w:rPr>
          <w:b w:val="0"/>
          <w:color w:val="222222"/>
          <w:sz w:val="20"/>
        </w:rPr>
        <w:t>Utilized during development for architectural brainstorming, boilerplate code generation, test script authoring, and documentation drafting. All system design, policy constraints, and business logic were directed and verified by the team.</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6 — UPLOADS / ATTACHMENTS CHECKLIST</w:t>
            </w:r>
          </w:p>
        </w:tc>
      </w:tr>
    </w:tbl>
    <w:p>
      <w:pPr>
        <w:spacing w:before="160"/>
      </w:pPr>
    </w:p>
    <w:p>
      <w:pPr>
        <w:spacing w:after="100"/>
      </w:pPr>
      <w:r>
        <w:rPr>
          <w:b w:val="0"/>
          <w:color w:val="222222"/>
          <w:sz w:val="20"/>
        </w:rPr>
        <w:t>☑  Technical Flow / Architecture Diagram (Included in Section 4)</w:t>
      </w:r>
    </w:p>
    <w:p>
      <w:pPr>
        <w:spacing w:after="100"/>
      </w:pPr>
      <w:r>
        <w:rPr>
          <w:b w:val="0"/>
          <w:color w:val="222222"/>
          <w:sz w:val="20"/>
        </w:rPr>
        <w:t>☑  Research / Reference Document (Available in analysis/ directory)</w:t>
      </w:r>
    </w:p>
    <w:p>
      <w:pPr>
        <w:spacing w:after="100"/>
      </w:pPr>
      <w:r>
        <w:rPr>
          <w:b w:val="0"/>
          <w:color w:val="222222"/>
          <w:sz w:val="20"/>
        </w:rPr>
        <w:t>☑  Project Documentation / Technical Report (Complete document + docs/PRD.md)</w:t>
      </w:r>
    </w:p>
    <w:p>
      <w:pPr>
        <w:spacing w:after="100"/>
      </w:pPr>
      <w:r>
        <w:rPr>
          <w:b w:val="0"/>
          <w:color w:val="222222"/>
          <w:sz w:val="20"/>
        </w:rPr>
        <w:t>☑  GitHub Repository Link (Included in Section 4 and Cover Table)</w:t>
      </w:r>
    </w:p>
    <w:p>
      <w:pPr>
        <w:spacing w:after="100"/>
      </w:pPr>
      <w:r>
        <w:rPr>
          <w:b w:val="0"/>
          <w:color w:val="222222"/>
          <w:sz w:val="20"/>
        </w:rPr>
        <w:t>☐  Screenshots of Working Prototype</w:t>
      </w:r>
    </w:p>
    <w:p>
      <w:pPr>
        <w:spacing w:after="100"/>
      </w:pPr>
      <w:r>
        <w:rPr>
          <w:b w:val="0"/>
          <w:color w:val="222222"/>
          <w:sz w:val="20"/>
        </w:rPr>
        <w:t>☑  Dataset / Sample Data (Synthetic scenario suite in analysis/08-architecture/)</w:t>
      </w:r>
    </w:p>
    <w:p>
      <w:pPr>
        <w:spacing w:after="100"/>
      </w:pPr>
      <w:r>
        <w:rPr>
          <w:b w:val="0"/>
          <w:color w:val="222222"/>
          <w:sz w:val="20"/>
        </w:rPr>
        <w:t>☑  Additional Diagrams (Warm-path specialist structure in docs/02-architecture.md)</w:t>
      </w:r>
    </w:p>
    <w:p>
      <w:pPr>
        <w:pBdr>
          <w:top w:val="single" w:color="CCCCCC" w:sz="4"/>
        </w:pBdr>
        <w:spacing w:before="300"/>
      </w:pPr>
    </w:p>
    <w:p>
      <w:pPr>
        <w:spacing w:before="200"/>
      </w:pPr>
      <w:r>
        <w:rPr>
          <w:b/>
          <w:color w:val="222222"/>
          <w:sz w:val="20"/>
        </w:rPr>
        <w:t>Team Leader Signature: Laukik Rathod                             Date: September 11, 2026</w:t>
      </w:r>
    </w:p>
    <w:sectPr>
      <w:headerReference w:type="default" r:id="rId7"/>
      <w:footerReference w:type="default" r:id="rId8"/>
      <w:pgSz w:w="11906" w:h="16838" w:orient="portrait"/>
      <w:pgMar w:top="1600" w:right="850" w:bottom="9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0466"/>
      </w:tabs>
    </w:pPr>
    <w:r>
      <w:rPr>
        <w:color w:val="666666"/>
        <w:sz w:val="15"/>
        <w:szCs w:val="15"/>
      </w:rPr>
      <w:t xml:space="preserve">Kurukshetra 2.0 – HACKFEST 2026</w:t>
    </w:r>
    <w:r>
      <w:t xml:space="preserve">	</w:t>
    </w:r>
    <w:r>
      <w:rPr>
        <w:color w:val="666666"/>
        <w:sz w:val="15"/>
        <w:szCs w:val="15"/>
      </w:rPr>
      <w:t xml:space="preserve">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2700"/>
      <w:gridCol w:w="7766"/>
    </w:tblGrid>
    <w:tr>
      <w:tc>
        <w:tcPr>
          <w:tcW w:type="dxa" w:w="2700"/>
          <w:tcBorders>
            <w:top w:val="none" w:color="FFFFFF" w:sz="0"/>
            <w:left w:val="none" w:color="FFFFFF" w:sz="0"/>
            <w:bottom w:val="none" w:color="FFFFFF" w:sz="0"/>
            <w:right w:val="none" w:color="FFFFFF" w:sz="0"/>
          </w:tcBorders>
          <w:shd w:fill="7A1F2B" w:color="auto" w:val="clear"/>
          <w:tcMar>
            <w:top w:type="dxa" w:w="80"/>
            <w:left w:type="dxa" w:w="120"/>
            <w:bottom w:type="dxa" w:w="80"/>
            <w:right w:type="dxa" w:w="80"/>
          </w:tcMar>
          <w:vAlign w:val="center"/>
        </w:tcPr>
        <w:p>
          <w:pPr>
            <w:jc w:val="left"/>
          </w:pP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1076325"/>
                        </a:xfrm>
                        <a:prstGeom prst="rect">
                          <a:avLst/>
                        </a:prstGeom>
                      </pic:spPr>
                    </pic:pic>
                  </a:graphicData>
                </a:graphic>
              </wp:inline>
            </w:drawing>
          </w:r>
        </w:p>
      </w:tc>
      <w:tc>
        <w:tcPr>
          <w:tcW w:type="dxa" w:w="7766"/>
          <w:tcBorders>
            <w:top w:val="none" w:color="FFFFFF" w:sz="0"/>
            <w:left w:val="none" w:color="FFFFFF" w:sz="0"/>
            <w:bottom w:val="none" w:color="FFFFFF" w:sz="0"/>
            <w:right w:val="none" w:color="FFFFFF" w:sz="0"/>
          </w:tcBorders>
          <w:shd w:fill="7A1F2B" w:color="auto" w:val="clear"/>
          <w:tcMar>
            <w:top w:type="dxa" w:w="100"/>
            <w:left w:type="dxa" w:w="200"/>
            <w:bottom w:type="dxa" w:w="100"/>
            <w:right w:type="dxa" w:w="200"/>
          </w:tcMar>
          <w:vAlign w:val="center"/>
        </w:tcPr>
        <w:p>
          <w:pPr>
            <w:jc w:val="right"/>
          </w:pPr>
          <w:r>
            <w:rPr>
              <w:b/>
              <w:bCs/>
              <w:color w:val="FFFFFF"/>
              <w:sz w:val="24"/>
              <w:szCs w:val="24"/>
            </w:rPr>
            <w:t xml:space="preserve">KURUKSHETRA 2.0</w:t>
          </w:r>
        </w:p>
        <w:p>
          <w:pPr>
            <w:jc w:val="right"/>
          </w:pPr>
          <w:r>
            <w:rPr>
              <w:color w:val="FFFFFF"/>
              <w:sz w:val="17"/>
              <w:szCs w:val="17"/>
            </w:rPr>
            <w:t xml:space="preserve">Problem Statement Documentation</w:t>
          </w:r>
        </w:p>
      </w:tc>
    </w:tr>
  </w:tbl>
  <w:p>
    <w:pPr>
      <w:pBdr>
        <w:bottom w:val="single" w:color="D4A017" w:sz="14"/>
      </w:pBdr>
      <w:spacing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3a05ad13d50719f6822ff532a1f7b193a7de7f.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10db9f9538fe81b847f79fe4ea82a8bd4a3786c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2026-09-11T03:34:36.053Z</dcterms:created>
  <dcterms:modified xsi:type="dcterms:W3CDTF">2026-09-11T03:34:36.063Z</dcterms:modified>
</cp:coreProperties>
</file>

<file path=docProps/custom.xml><?xml version="1.0" encoding="utf-8"?>
<Properties xmlns="http://schemas.openxmlformats.org/officeDocument/2006/custom-properties" xmlns:vt="http://schemas.openxmlformats.org/officeDocument/2006/docPropsVTypes"/>
</file>