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함초롬바탕" w:cs="함초롬바탕" w:eastAsia="함초롬바탕" w:hAnsi="함초롬바탕"/>
          <w:b/>
          <w:bCs/>
          <w:sz w:val="30"/>
          <w:szCs w:val="30"/>
        </w:rPr>
        <w:t xml:space="preserve">계약 기반 Medallion 파이프라인의 한국 공공데이터 적용에 대한 실증 평가</w:t>
      </w:r>
    </w:p>
    <w:p>
      <w:pPr>
        <w:spacing w:after="60"/>
        <w:jc w:val="center"/>
      </w:pPr>
      <w:r>
        <w:rPr>
          <w:rFonts w:ascii="함초롬바탕" w:cs="함초롬바탕" w:eastAsia="함초롬바탕" w:hAnsi="함초롬바탕"/>
          <w:i/>
          <w:iCs/>
          <w:sz w:val="20"/>
          <w:szCs w:val="20"/>
        </w:rPr>
        <w:t xml:space="preserve">An Empirical Evaluation of a Contract-Driven Medallion Pipeline for Korean Public Data</w:t>
      </w:r>
    </w:p>
    <w:p>
      <w:pPr>
        <w:spacing w:after="40"/>
        <w:jc w:val="center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[저자명]*, [저자명]**  ·  *[소속], **[소속]</w:t>
      </w:r>
    </w:p>
    <w:p>
      <w:pPr>
        <w:spacing w:after="200"/>
        <w:jc w:val="center"/>
      </w:pPr>
      <w:r>
        <w:rPr>
          <w:rFonts w:ascii="함초롬바탕" w:cs="함초롬바탕" w:eastAsia="함초롬바탕" w:hAnsi="함초롬바탕"/>
          <w:sz w:val="15"/>
          <w:szCs w:val="15"/>
        </w:rPr>
        <w:t xml:space="preserve">e-mail: [이메일]  |  발표자: [발표자명]</w:t>
      </w:r>
    </w:p>
    <w:p>
      <w:pPr>
        <w:pStyle w:val="Heading2"/>
        <w:spacing w:after="80" w:before="160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요   약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공공데이터는 같은 항목이 배포 세대마다 다른 표기로 제공되어, 분석마다 정제 코드를 새로 작성하게 만든다. 본 연구는 Bronze–Silver–Gold 계층과 명시적 Silver 계약을 갖춘 빌드 엔진을 구현하고, 서울시 아파트 실거래·전월세·따릉이 대여 3개 데이터셋(총 6,357,323행)에 적용해 세 가지를 측정했다. (1) 계약이 원천 표현의 무엇을 바꾸는가, (2) 계층을 저장하면 준비 코드와 재계산 비용이 어떻게 달라지는가, (3) 고정된 계약이 무엇을 재현하고 어디서 멈추는가. 계약은 데이터셋에 따라 역할 셀의 22.5~56.8%를 변경했다. 준비 코드는 계측 행을 제외했을 때 Bronze 대비 Silver에서 30~31% 줄었고, 네 조건은 동일한 분석 결과에 도달했다. 재계산은 무효화 지점에 따라 갈려, 분석 수준에서는 계층화가 최대 568배 빨랐으나 Silver 이상이 무효화되면 0.48~0.72배로 느렸다. 10회 재빌드는 단일 다이제스트로 수렴했고, 의미를 파괴하는 변형 20건 중 12건은 거부·8건은 통과했으며, 의미를 보존하는 변형 31건 중에서도 4건의 오거부와 1건의 무음 손상이 나왔다.</w:t>
      </w:r>
    </w:p>
    <w:p>
      <w:pPr>
        <w:pStyle w:val="Heading1"/>
        <w:spacing w:after="80" w:before="160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1. 서론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공공데이터포털이 제공하는 데이터는 배포 세대가 바뀌면 컬럼명·결측 표기·식별자 자릿수가 함께 바뀐다. 분석자는 매번 그 차이를 흡수하는 코드를 새로 쓰고, 그 코드는 분석 스크립트 안에 섞여 재사용되지 않는다. 데이터 웨어하우스 영역에서 널리 쓰이는 Medallion 아키텍처(Bronze–Silver–Gold)는 이 문제를 계층 분리로 다루지만, 한국 공공데이터를 대상으로 그 효과를 정량적으로 측정한 연구는 드물다.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본 연구는 계층화 자체가 아니라 계층 경계에 놓인 명시적 계약(contract)에 주목한다. Silver 계약은 원천 표현을 canonical 표현으로 옮기는 규칙을 선언으로 적는다. 본 연구의 기여는 다음과 같다.</w:t>
      </w:r>
    </w:p>
    <w:p>
      <w:pPr>
        <w:spacing w:after="60" w:line="240"/>
        <w:ind w:left="20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(1) 계약 기반 Bronze→Silver→Gold 빌드 엔진 구현 및 공개, (2) 3개 공공데이터셋에 대한 표준화·비용·재현성의 정량 평가, (3) 계약이 무엇을 잡고 무엇을 놓치는지에 대한 통제된 변형 실험.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관련 연구. </w:t>
      </w:r>
      <w:r>
        <w:rPr>
          <w:rFonts w:ascii="함초롬바탕" w:cs="함초롬바탕" w:eastAsia="함초롬바탕" w:hAnsi="함초롬바탕"/>
          <w:sz w:val="18"/>
          <w:szCs w:val="18"/>
        </w:rPr>
        <w:t xml:space="preserve">Lakehouse는 데이터 레이크 위에 트랜잭션 계층을 두어 웨어하우스의 보장을 얻는 구조로 제안됐고[1], 그 저장 계층의 ACID 보장은 Delta Lake로 구현됐다[2]. Bronze–Silver–Gold라는 계층 명명은 이 계열에서 실무 패턴으로 굳었으나[3], 계층화가 실제로 무엇을 바꾸는지를 공개 데이터셋 위에서 계층별로 측정한 보고는 찾기 어렵다. 본 연구는 그 측정을 한국 공공데이터에 대해 수행한다.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본 연구가 주장하지 않는 것</w:t>
      </w:r>
      <w:r>
        <w:rPr>
          <w:rFonts w:ascii="함초롬바탕" w:cs="함초롬바탕" w:eastAsia="함초롬바탕" w:hAnsi="함초롬바탕"/>
          <w:sz w:val="18"/>
          <w:szCs w:val="18"/>
        </w:rPr>
        <w:t xml:space="preserve">. 계층화가 monolithic 스크립트보다 더 나은 변환을 만든다고 주장하지 않는다. 인적 노력을 줄인다고도 주장하지 않는다 — 사용자 실험은 수행하지 않았다.</w:t>
      </w:r>
    </w:p>
    <w:p>
      <w:pPr>
        <w:pStyle w:val="Heading1"/>
        <w:spacing w:after="80" w:before="160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2. 실험 설계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세 데이터셋을 동결된 스냅샷으로 고정하고, 각 스냅샷에 대해 하나의 Silver 계약을 선언했다. 분석 과제는 T1(자치구×월 가격 집계·추세)과 T3(실거래·전월세 조인, 전세가율) 두 가지이며, 각각 Bronze / Silver / Gold / monolithic 네 조건에서 수행했다.</w:t>
      </w:r>
    </w:p>
    <w:p>
      <w:pPr>
        <w:spacing w:after="120" w:before="60"/>
        <w:jc w:val="center"/>
      </w:pPr>
      <w:r>
        <w:rPr>
          <w:rFonts w:ascii="함초롬바탕" w:cs="함초롬바탕" w:eastAsia="함초롬바탕" w:hAnsi="함초롬바탕"/>
          <w:sz w:val="15"/>
          <w:szCs w:val="15"/>
        </w:rPr>
        <w:t xml:space="preserve">표 1. 데이터셋 범위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1800"/>
        <w:gridCol w:w="2760"/>
      </w:tblGrid>
      <w:tr>
        <w:trPr>
          <w:tblHeader/>
        </w:trPr>
        <w:tc>
          <w:tcPr>
            <w:tcW w:type="dxa" w:w="260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데이터셋</w:t>
            </w:r>
          </w:p>
        </w:tc>
        <w:tc>
          <w:tcPr>
            <w:tcW w:type="dxa" w:w="220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기간</w:t>
            </w:r>
          </w:p>
        </w:tc>
        <w:tc>
          <w:tcPr>
            <w:tcW w:type="dxa" w:w="180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원천 행 수</w:t>
            </w:r>
          </w:p>
        </w:tc>
        <w:tc>
          <w:tcPr>
            <w:tcW w:type="dxa" w:w="276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용도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서울 아파트 실거래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2020-01~2024-12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233,596</w:t>
            </w:r>
          </w:p>
        </w:tc>
        <w:tc>
          <w:tcPr>
            <w:tcW w:type="dxa" w:w="27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T1·T3, RQ1, R1, 변형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서울 아파트 전월세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2020-01~2024-12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1,221,491</w:t>
            </w:r>
          </w:p>
        </w:tc>
        <w:tc>
          <w:tcPr>
            <w:tcW w:type="dxa" w:w="27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T3, RQ1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서울 따릉이 대여(통합)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2020-01~2023-12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4,902,236</w:t>
            </w:r>
          </w:p>
        </w:tc>
        <w:tc>
          <w:tcPr>
            <w:tcW w:type="dxa" w:w="27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RQ1, R2</w:t>
            </w:r>
          </w:p>
        </w:tc>
      </w:tr>
    </w:tbl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measurement의 전제는 네 조건이 같은 분석 결과에 도달한다는 것이다. 이를 output_hash 일치로 확인했으며, 이는 연구 질문이 아니라 비용 비교의 타당성 조건이다. 재계산 비용은 무효화 범위를 S1(분석 수준)부터 S4(원천 수준)까지 네 단계로 나누어, pandas와 polars 두 엔진에서 warm-up 1회 후 5회를 교차 측정했다.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준비 코드의 경계. </w:t>
      </w:r>
      <w:r>
        <w:rPr>
          <w:rFonts w:ascii="함초롬바탕" w:cs="함초롬바탕" w:eastAsia="함초롬바탕" w:hAnsi="함초롬바탕"/>
          <w:sz w:val="18"/>
          <w:szCs w:val="18"/>
        </w:rPr>
        <w:t xml:space="preserve">어느 행이 "준비"인지를 사후에 판단하지 않기 위해, 각 조건은 prepare() 메서드를 구현하고 계측은 그 메서드와 전용 헬퍼만 센다. 분석 함수는 조건별로 두지 않고 하나를 모든 조건에 그대로 넘긴다. 다만 prepare() 안에는 단계 경계를 기록하는 계측 행(ctx.step)이 조건마다 0~7행 포함되며, 그 수는 변환 단계 수에 비례하므로 조건 간에 균일하지 않다. 따라서 3.2절은 원시 LOC와 계측 행을 뺀 LOC를 함께 보고한다.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통계는 기술 통계만 보고한다. 표본 구성상 추론 통계(p-값, 신뢰구간, 효과 크기)는 산출하지 않았다.</w:t>
      </w:r>
    </w:p>
    <w:p>
      <w:pPr>
        <w:pStyle w:val="Heading1"/>
        <w:spacing w:after="80" w:before="160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3. 결과</w:t>
      </w:r>
    </w:p>
    <w:p>
      <w:pPr>
        <w:pStyle w:val="Heading2"/>
        <w:spacing w:after="80" w:before="160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3.1 계약이 바꾸는 것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역할(role) 셀 단위로 Bronze와 Silver의 표현을 비교했다. 변경 원인은 결과를 보기 전에 규칙으로 고정했다.</w:t>
      </w:r>
    </w:p>
    <w:p>
      <w:pPr>
        <w:spacing w:after="120" w:before="60"/>
        <w:jc w:val="center"/>
      </w:pPr>
      <w:r>
        <w:rPr>
          <w:rFonts w:ascii="함초롬바탕" w:cs="함초롬바탕" w:eastAsia="함초롬바탕" w:hAnsi="함초롬바탕"/>
          <w:sz w:val="15"/>
          <w:szCs w:val="15"/>
        </w:rPr>
        <w:t xml:space="preserve">표 2. 데이터셋별 표현 변경률과 주된 원인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900"/>
        <w:gridCol w:w="1900"/>
        <w:gridCol w:w="1200"/>
        <w:gridCol w:w="2860"/>
      </w:tblGrid>
      <w:tr>
        <w:trPr>
          <w:tblHeader/>
        </w:trPr>
        <w:tc>
          <w:tcPr>
            <w:tcW w:type="dxa" w:w="150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데이터셋</w:t>
            </w:r>
          </w:p>
        </w:tc>
        <w:tc>
          <w:tcPr>
            <w:tcW w:type="dxa" w:w="190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역할 셀</w:t>
            </w:r>
          </w:p>
        </w:tc>
        <w:tc>
          <w:tcPr>
            <w:tcW w:type="dxa" w:w="190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변경 셀</w:t>
            </w:r>
          </w:p>
        </w:tc>
        <w:tc>
          <w:tcPr>
            <w:tcW w:type="dxa" w:w="120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변경률</w:t>
            </w:r>
          </w:p>
        </w:tc>
        <w:tc>
          <w:tcPr>
            <w:tcW w:type="dxa" w:w="286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주된 원인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실거래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4,905,516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1,168,608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0.238</w:t>
            </w:r>
          </w:p>
        </w:tc>
        <w:tc>
          <w:tcPr>
            <w:tcW w:type="dxa" w:w="28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타입 정규화, 수치 형식, 파생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전월세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21,986,838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4,941,299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0.225</w:t>
            </w:r>
          </w:p>
        </w:tc>
        <w:tc>
          <w:tcPr>
            <w:tcW w:type="dxa" w:w="28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타입 정규화, 수치 형식, 파생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따릉이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53,924,596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30,648,135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0.568</w:t>
            </w:r>
          </w:p>
        </w:tc>
        <w:tc>
          <w:tcPr>
            <w:tcW w:type="dxa" w:w="28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타입 정규화, 식별자 패딩, 연월·결측 정규화</w:t>
            </w:r>
          </w:p>
        </w:tc>
      </w:tr>
    </w:tbl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따릉이의 변경률이 두 배 이상 높은 것은 이 데이터셋만 배포 세대가 다섯 번 바뀌었기 때문이다. 대여소 식별자 자릿수(2,241,547셀), 연월 표기(1,914,327셀), 결측 표기(1,991,589셀)가 세대마다 달라, 계약이 흡수해야 할 표면이 그만큼 넓다.</w:t>
      </w:r>
    </w:p>
    <w:p>
      <w:pPr>
        <w:pStyle w:val="Heading2"/>
        <w:spacing w:after="80" w:before="160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3.2 계층을 저장하는 비용과 이득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네 조건 모두 동일한 output_hash를 산출해 equivalence gate를 통과했다. 준비 코드의 원시 LOC는 T1이 20→12→2, T3이 50→34→2로 계층을 올라갈수록 단조 감소했다. 그러나 이 수치에는 조건마다 다른 수의 계측 행이 섞여 있다. 계측 행을 빼면 Bronze→Silver 감소는 T1 13→9행(31%), T3 43→30행(30%)으로, 원시 값이 보여주던 40%·32%보다 작다.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두 가지를 감소로 읽어서는 안 된다. </w:t>
      </w:r>
      <w:r>
        <w:rPr>
          <w:rFonts w:ascii="함초롬바탕" w:cs="함초롬바탕" w:eastAsia="함초롬바탕" w:hAnsi="함초롬바탕"/>
          <w:sz w:val="18"/>
          <w:szCs w:val="18"/>
        </w:rPr>
        <w:t xml:space="preserve">첫째, Gold의 2행은 성과가 아니라 정의다 — Gold는 분석 입력 형태로 미리 집계해 둔 계층이므로 준비 코드가 load 한 줄로 줄어드는 것은 동어반복이며, 집계 비용은 사라진 것이 아니라 빌드 시점으로 옮겨갔을 뿐이다. 둘째, monolithic은 원시 LOC로는 Bronze보다 작지만(T1 16 대 20, T3 46 대 50) 계측 행을 빼면 오히려 크거나 비슷하다(T1 15 대 13, T3 45 대 43). 즉 "계층화가 monolithic보다 준비 코드를 줄인다"는 결론은 이 측정으로 지지되지 않는다. 지지되는 것은 Bronze에서 Silver로 갈 때의 감소뿐이다.</w:t>
      </w:r>
    </w:p>
    <w:p>
      <w:pPr>
        <w:spacing w:after="120" w:before="60"/>
        <w:jc w:val="center"/>
      </w:pPr>
      <w:r>
        <w:rPr>
          <w:rFonts w:ascii="함초롬바탕" w:cs="함초롬바탕" w:eastAsia="함초롬바탕" w:hAnsi="함초롬바탕"/>
          <w:sz w:val="15"/>
          <w:szCs w:val="15"/>
        </w:rPr>
        <w:t xml:space="preserve">표 3. 재계산 시간의 쌍 비교 (비율 = monolithic ÷ materialized, 1보다 크면 계층화가 빠름)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740"/>
        <w:gridCol w:w="1740"/>
        <w:gridCol w:w="1740"/>
        <w:gridCol w:w="1740"/>
      </w:tblGrid>
      <w:tr>
        <w:trPr>
          <w:tblHeader/>
        </w:trPr>
        <w:tc>
          <w:tcPr>
            <w:tcW w:type="dxa" w:w="240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과제·엔진</w:t>
            </w:r>
          </w:p>
        </w:tc>
        <w:tc>
          <w:tcPr>
            <w:tcW w:type="dxa" w:w="174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S1 분석</w:t>
            </w:r>
          </w:p>
        </w:tc>
        <w:tc>
          <w:tcPr>
            <w:tcW w:type="dxa" w:w="174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S2 Gold</w:t>
            </w:r>
          </w:p>
        </w:tc>
        <w:tc>
          <w:tcPr>
            <w:tcW w:type="dxa" w:w="174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S3 Silver</w:t>
            </w:r>
          </w:p>
        </w:tc>
        <w:tc>
          <w:tcPr>
            <w:tcW w:type="dxa" w:w="174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S4 원천</w:t>
            </w:r>
          </w:p>
        </w:tc>
      </w:tr>
      <w:tr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T1 · pandas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41.4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1.36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0.53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0.50</w:t>
            </w:r>
          </w:p>
        </w:tc>
      </w:tr>
      <w:tr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T1 · polars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8.67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1.14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0.48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0.48</w:t>
            </w:r>
          </w:p>
        </w:tc>
      </w:tr>
      <w:tr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T3 · pandas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567.9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1.48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0.70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0.72</w:t>
            </w:r>
          </w:p>
        </w:tc>
      </w:tr>
      <w:tr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T3 · polars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84.7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1.24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0.54</w:t>
            </w:r>
          </w:p>
        </w:tc>
        <w:tc>
          <w:tcPr>
            <w:tcW w:type="dxa" w:w="17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0.53</w:t>
            </w:r>
          </w:p>
        </w:tc>
      </w:tr>
    </w:tbl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결과는 방향이 뚜렷하게 갈린다. 무효화가 분석이나 Gold에만 미치면 계층화가 빠르고(S1에서 최대 568배), Silver 이상이 무효화되면 오히려 느리다(0.48~0.72배). 후자는 계층화가 체크포인트를 쓰고 다시 읽는 비용을 추가로 치르기 때문이며, 이 방향은 4개 과제×엔진 셀과 5개 쌍 전부에서 동일했다. 즉 계층화의 이득은 재계산 빈도가 어디에 몰리는가에 달려 있다.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저장 비용은 같은 Parquet 조건에서 Bronze 대비 Silver가 0.92~0.99배였다. 두 계층을 모두 보관하면 약 1.93~1.99배가 된다.</w:t>
      </w:r>
    </w:p>
    <w:p>
      <w:pPr>
        <w:pStyle w:val="Heading2"/>
        <w:spacing w:after="80" w:before="160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3.3 고정 계약이 재현하는 것과 멈추는 곳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동일 스냅샷·계약·빌더로 10회 재빌드한 결과 10회 모두 성공했고 다이제스트는 하나로 수렴했으며 canonical Silver와 바이트 단위로 일치했다.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고정된 계약 하나로 따릉이 원천 세대 다섯을 빌드했을 때 G1·G2·I1·G3와 통합본은 행 손실 없이 통과했고, G4는 silver/coalesce 단계에서 fail-closed로 멈췄다. G4는 관측 단위 자체가 바뀐 세대다 — 계약이 조용히 잘못된 결과를 내는 대신 멈춘 것은 의도된 동작이다.</w:t>
      </w:r>
    </w:p>
    <w:p>
      <w:pPr>
        <w:spacing w:after="120" w:before="60"/>
        <w:jc w:val="center"/>
      </w:pPr>
      <w:r>
        <w:rPr>
          <w:rFonts w:ascii="함초롬바탕" w:cs="함초롬바탕" w:eastAsia="함초롬바탕" w:hAnsi="함초롬바탕"/>
          <w:sz w:val="15"/>
          <w:szCs w:val="15"/>
        </w:rPr>
        <w:t xml:space="preserve">표 4. 의미 파괴 변형 20건에 대한 계약의 반응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920"/>
        <w:gridCol w:w="1920"/>
        <w:gridCol w:w="1920"/>
      </w:tblGrid>
      <w:tr>
        <w:trPr>
          <w:tblHeader/>
        </w:trPr>
        <w:tc>
          <w:tcPr>
            <w:tcW w:type="dxa" w:w="360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계약 분류</w:t>
            </w:r>
          </w:p>
        </w:tc>
        <w:tc>
          <w:tcPr>
            <w:tcW w:type="dxa" w:w="192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변형</w:t>
            </w:r>
          </w:p>
        </w:tc>
        <w:tc>
          <w:tcPr>
            <w:tcW w:type="dxa" w:w="192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거부</w:t>
            </w:r>
          </w:p>
        </w:tc>
        <w:tc>
          <w:tcPr>
            <w:tcW w:type="dxa" w:w="1920"/>
            <w:shd w:fill="EFEFE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sz w:val="15"/>
                <w:szCs w:val="15"/>
              </w:rPr>
              <w:t xml:space="preserve">무음 통과</w:t>
            </w:r>
          </w:p>
        </w:tc>
      </w:tr>
      <w:tr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선언됨 / 포괄됨</w:t>
            </w:r>
          </w:p>
        </w:tc>
        <w:tc>
          <w:tcPr>
            <w:tcW w:type="dxa" w:w="19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12</w:t>
            </w:r>
          </w:p>
        </w:tc>
        <w:tc>
          <w:tcPr>
            <w:tcW w:type="dxa" w:w="19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12</w:t>
            </w:r>
          </w:p>
        </w:tc>
        <w:tc>
          <w:tcPr>
            <w:tcW w:type="dxa" w:w="19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</w:t>
            </w:r>
          </w:p>
        </w:tc>
      </w:tr>
      <w:tr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표현 가능하나 미선언</w:t>
            </w:r>
          </w:p>
        </w:tc>
        <w:tc>
          <w:tcPr>
            <w:tcW w:type="dxa" w:w="19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5</w:t>
            </w:r>
          </w:p>
        </w:tc>
        <w:tc>
          <w:tcPr>
            <w:tcW w:type="dxa" w:w="19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</w:t>
            </w:r>
          </w:p>
        </w:tc>
        <w:tc>
          <w:tcPr>
            <w:tcW w:type="dxa" w:w="19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5</w:t>
            </w:r>
          </w:p>
        </w:tc>
      </w:tr>
      <w:tr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현재 spec으로 표현 불가</w:t>
            </w:r>
          </w:p>
        </w:tc>
        <w:tc>
          <w:tcPr>
            <w:tcW w:type="dxa" w:w="19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3</w:t>
            </w:r>
          </w:p>
        </w:tc>
        <w:tc>
          <w:tcPr>
            <w:tcW w:type="dxa" w:w="19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0</w:t>
            </w:r>
          </w:p>
        </w:tc>
        <w:tc>
          <w:tcPr>
            <w:tcW w:type="dxa" w:w="19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3</w:t>
            </w:r>
          </w:p>
        </w:tc>
      </w:tr>
      <w:tr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합계</w:t>
            </w:r>
          </w:p>
        </w:tc>
        <w:tc>
          <w:tcPr>
            <w:tcW w:type="dxa" w:w="19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20</w:t>
            </w:r>
          </w:p>
        </w:tc>
        <w:tc>
          <w:tcPr>
            <w:tcW w:type="dxa" w:w="19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12</w:t>
            </w:r>
          </w:p>
        </w:tc>
        <w:tc>
          <w:tcPr>
            <w:tcW w:type="dxa" w:w="19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20"/>
              <w:jc w:val="center"/>
            </w:pPr>
            <w:r>
              <w:rPr>
                <w:rFonts w:ascii="함초롬바탕" w:cs="함초롬바탕" w:eastAsia="함초롬바탕" w:hAnsi="함초롬바탕"/>
                <w:sz w:val="15"/>
                <w:szCs w:val="15"/>
              </w:rPr>
              <w:t xml:space="preserve">8</w:t>
            </w:r>
          </w:p>
        </w:tc>
      </w:tr>
    </w:tbl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통과한 8건 중 5건은 계약 언어가 표현할 수 있었으나 계약이 선언하지 않은 것이고, 3건은 현재 언어로 표현할 수 없는 것이다. 다만 이 분류는 저자가 사후에 부여한 것이며 "표현 가능"의 기준도 저자가 정했다. 따라서 이 분해는 도구의 성능이 아니라, 남은 간격 중 어디까지가 작성 관행의 문제이고 어디부터가 언어 확장의 요구사항인지를 가르는 진단으로만 읽어야 한다.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반대 방향의 오류. </w:t>
      </w:r>
      <w:r>
        <w:rPr>
          <w:rFonts w:ascii="함초롬바탕" w:cs="함초롬바탕" w:eastAsia="함초롬바탕" w:hAnsi="함초롬바탕"/>
          <w:sz w:val="18"/>
          <w:szCs w:val="18"/>
        </w:rPr>
        <w:t xml:space="preserve">의미를 보존하는 변형 31건에서는 26건이 올바르게 수용됐으나, 4건은 잘못 거부됐고(silver의 tabularize 2건, cast 1건, zfill 1건) 1건은 값이 바뀐 채 통과했다(T-P10, 28,777셀). 오거부 4건은 계약이 원천의 정상적인 표기 변이를 과도하게 좁게 선언한 경우로, 운영에서는 멀쩡한 세대를 거부하는 비용으로 나타난다. 무음 손상 1건은 거부 실패 8건과 같은 성격의 사각지대다. 요약하면 이 계약은 51건 중 38건에서 옳았고, 13건에서 틀렸으며, 그 틀림은 양방향이다.</w:t>
      </w:r>
    </w:p>
    <w:p>
      <w:pPr>
        <w:pStyle w:val="Heading1"/>
        <w:spacing w:after="80" w:before="160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4. 타당성 위협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구성 타당도. </w:t>
      </w:r>
      <w:r>
        <w:rPr>
          <w:rFonts w:ascii="함초롬바탕" w:cs="함초롬바탕" w:eastAsia="함초롬바탕" w:hAnsi="함초롬바탕"/>
          <w:sz w:val="18"/>
          <w:szCs w:val="18"/>
        </w:rPr>
        <w:t xml:space="preserve">LOC는 개발 비용을 대표하지 않는다. 그래서 LOC 단독이 아니라 함수 수·변환 단계 수·실행 시간을 함께 보고했고, 3.2절에서 보듯 지표에 따라 결론이 달라진다 — 원시 LOC는 monolithic이 더 작다고, 계측 행을 뺀 LOC는 그렇지 않다고 말한다. 인적 노력에 대한 주장은 하지 않는다.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내적 타당도. </w:t>
      </w:r>
      <w:r>
        <w:rPr>
          <w:rFonts w:ascii="함초롬바탕" w:cs="함초롬바탕" w:eastAsia="함초롬바탕" w:hAnsi="함초롬바탕"/>
          <w:sz w:val="18"/>
          <w:szCs w:val="18"/>
        </w:rPr>
        <w:t xml:space="preserve">Gold가 분석의 답을 미리 담고 있으면 Gold에 유리한 실험이 된다. 이를 막기 위해 분석 함수는 조건별로 두지 않고 하나를 네 조건 모두에 그대로 넘겼으며, Gold에는 재사용 가능한 집계(자치구×월)까지만 두고 추세·전세가율 같은 최종 산출은 분석 함수에 남겼다. 그럼에도 Gold의 준비 코드 2행은 성과가 아니라 이 설계의 정의상 귀결이므로 감소 폭에서 제외해 읽어야 한다.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기준선 편향. </w:t>
      </w:r>
      <w:r>
        <w:rPr>
          <w:rFonts w:ascii="함초롬바탕" w:cs="함초롬바탕" w:eastAsia="함초롬바탕" w:hAnsi="함초롬바탕"/>
          <w:sz w:val="18"/>
          <w:szCs w:val="18"/>
        </w:rPr>
        <w:t xml:space="preserve">monolithic을 일부러 비효율적으로 구현하면 계층화가 유리해진다. 이를 막기 위해 monolithic은 특수 경로가 아니라 동일한 변환 헬퍼를 재사용하는 일반 조건으로 구현했고, 중간 산출을 저장하지 않는 것만이 차이다. 네 조건의 output_hash 일치가 이 동일성을 사후 검증한다.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기준 통계 타당도. </w:t>
      </w:r>
      <w:r>
        <w:rPr>
          <w:rFonts w:ascii="함초롬바탕" w:cs="함초롬바탕" w:eastAsia="함초롬바탕" w:hAnsi="함초롬바탕"/>
          <w:sz w:val="18"/>
          <w:szCs w:val="18"/>
        </w:rPr>
        <w:t xml:space="preserve">외부 공식 통계를 절대 기준으로 삼지 않았고, 대조 자체를 수행하지 않았다. 전세가율은 분모 정의·시점·거래 필터에 따라 값이 3.6%p 이동하므로, 대조를 하면 차이가 파이프라인에서 왔는지 정의에서 왔는지 분리할 수 없다. 또한 T3의 조인 매칭률은 0.634로 37%가 매칭되지 않았다 — 단지명 표기 불일치 때문이며 계약은 단지명을 canonical 키로 정규화하지 않는다. 따라서 T3의 값은 매칭된 부분집합에 대한 것이다.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외적 타당도와 표본. </w:t>
      </w:r>
      <w:r>
        <w:rPr>
          <w:rFonts w:ascii="함초롬바탕" w:cs="함초롬바탕" w:eastAsia="함초롬바탕" w:hAnsi="함초롬바탕"/>
          <w:sz w:val="18"/>
          <w:szCs w:val="18"/>
        </w:rPr>
        <w:t xml:space="preserve">측정은 서울시 3개 데이터셋, 2개 분석 과제, 1대의 장비에 한정된다. 시간 측정은 조건당 5쌍이고 warm-up 1회 뒤 교차 측정했으나, 표본이 작아 추론 통계는 산출하지 않고 쌍별 중앙값만 보고한다. S3·S4에서 관측된 역전은 4개 과제×엔진 셀과 5개 쌍 전부에서 방향이 같았다는 점까지가 근거이며, 그 크기는 장비에 의존한다. 사용자 실험은 수행하지 않았으므로 학습 비용·작성 난이도에 대한 결론은 이 연구의 범위 밖이다.</w:t>
      </w:r>
    </w:p>
    <w:p>
      <w:pPr>
        <w:pStyle w:val="Heading1"/>
        <w:spacing w:after="80" w:before="160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5. 결론 및 향후 과제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계약 기반 Medallion 파이프라인을 한국 공공데이터에 적용해, 표준화가 무엇을 바꾸는지, 계층 저장이 무엇을 주고받는지, 고정 계약이 어디서 멈추는지를 정량화했다. 세 결과 모두 조건부다. 준비 코드의 감소는 Bronze에서 Silver로 갈 때만 지지되고, 재계산 이득은 무효화가 분석·Gold에 머무를 때만 성립하며, 계약의 오류는 놓치는 쪽과 과도하게 막는 쪽 양방향으로 나타났다(51건 중 13건). 계층화가 무조건 낫다는 결론은 이 측정에서 나오지 않는다.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sz w:val="18"/>
          <w:szCs w:val="18"/>
        </w:rPr>
        <w:t xml:space="preserve">향후 과제는 세 가지다. (1) 단지명 정규화를 계약 언어에 포함해 T3 매칭률을 높이는 것, (2) 정의 민감도를 통제한 뒤 외부 통계와 대조하는 것, (3) 표현 불가로 분류된 3건을 계약 언어 확장의 요구사항으로 환원하는 것이다.</w:t>
      </w:r>
    </w:p>
    <w:p>
      <w:pPr>
        <w:spacing w:after="60" w:line="240"/>
        <w:jc w:val="both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재현성. </w:t>
      </w:r>
      <w:r>
        <w:rPr>
          <w:rFonts w:ascii="함초롬바탕" w:cs="함초롬바탕" w:eastAsia="함초롬바탕" w:hAnsi="함초롬바탕"/>
          <w:sz w:val="18"/>
          <w:szCs w:val="18"/>
        </w:rPr>
        <w:t xml:space="preserve">본문의 모든 숫자는 동결된 결과 파일에서 생성된 표에서 인용했고, 결과 파일의 sha256은 빌더·논문 커밋 쌍에 묶여 검사된다. 측정값·실험 코드·계약·스냅샷 메타데이터는 공개 저장소에 있다. 스냅샷 바이트(Parquet 약 197MB)는 크기 때문에 저장소 밖에 별도 게시한다.</w:t>
      </w:r>
    </w:p>
    <w:p>
      <w:pPr>
        <w:pStyle w:val="Heading1"/>
        <w:spacing w:after="80" w:before="160"/>
      </w:pPr>
      <w:r>
        <w:rPr>
          <w:rFonts w:ascii="함초롬바탕" w:cs="함초롬바탕" w:eastAsia="함초롬바탕" w:hAnsi="함초롬바탕"/>
          <w:b/>
          <w:bCs/>
          <w:sz w:val="18"/>
          <w:szCs w:val="18"/>
        </w:rPr>
        <w:t xml:space="preserve">참고문헌</w:t>
      </w:r>
    </w:p>
    <w:p>
      <w:pPr>
        <w:spacing w:after="20" w:line="240"/>
        <w:jc w:val="both"/>
      </w:pPr>
      <w:r>
        <w:rPr>
          <w:rFonts w:ascii="함초롬바탕" w:cs="함초롬바탕" w:eastAsia="함초롬바탕" w:hAnsi="함초롬바탕"/>
          <w:sz w:val="15"/>
          <w:szCs w:val="15"/>
        </w:rPr>
        <w:t xml:space="preserve">[1] M. Armbrust, A. Ghodsi, R. Xin, M. Zaharia, "Lakehouse: A New Generation of Open Platforms that Unify Data Warehousing and Advanced Analytics," CIDR, 2021.</w:t>
      </w:r>
    </w:p>
    <w:p>
      <w:pPr>
        <w:spacing w:after="20" w:line="240"/>
        <w:jc w:val="both"/>
      </w:pPr>
      <w:r>
        <w:rPr>
          <w:rFonts w:ascii="함초롬바탕" w:cs="함초롬바탕" w:eastAsia="함초롬바탕" w:hAnsi="함초롬바탕"/>
          <w:sz w:val="15"/>
          <w:szCs w:val="15"/>
        </w:rPr>
        <w:t xml:space="preserve">[2] M. Armbrust et al., "Delta Lake: High-Performance ACID Table Storage over Cloud Object Stores," PVLDB, 13(12), pp. 3411–3424, 2020.</w:t>
      </w:r>
    </w:p>
    <w:p>
      <w:pPr>
        <w:spacing w:after="20" w:line="240"/>
        <w:jc w:val="both"/>
      </w:pPr>
      <w:r>
        <w:rPr>
          <w:rFonts w:ascii="함초롬바탕" w:cs="함초롬바탕" w:eastAsia="함초롬바탕" w:hAnsi="함초롬바탕"/>
          <w:sz w:val="15"/>
          <w:szCs w:val="15"/>
        </w:rPr>
        <w:t xml:space="preserve">[3] Databricks, "What is a Medallion Architecture?", 2022.</w:t>
      </w:r>
    </w:p>
    <w:p>
      <w:pPr>
        <w:spacing w:after="20" w:line="240"/>
        <w:jc w:val="both"/>
      </w:pPr>
      <w:r>
        <w:rPr>
          <w:rFonts w:ascii="함초롬바탕" w:cs="함초롬바탕" w:eastAsia="함초롬바탕" w:hAnsi="함초롬바탕"/>
          <w:sz w:val="15"/>
          <w:szCs w:val="15"/>
        </w:rPr>
        <w:t xml:space="preserve">[4] 공공데이터포털, https://www.data.go.kr / 서울 열린데이터광장, https://data.seoul.go.kr</w:t>
      </w:r>
    </w:p>
    <w:p>
      <w:pPr>
        <w:spacing w:after="20" w:line="240"/>
        <w:jc w:val="both"/>
      </w:pPr>
      <w:r>
        <w:rPr>
          <w:rFonts w:ascii="함초롬바탕" w:cs="함초롬바탕" w:eastAsia="함초롬바탕" w:hAnsi="함초롬바탕"/>
          <w:sz w:val="15"/>
          <w:szCs w:val="15"/>
        </w:rPr>
        <w:t xml:space="preserve">[5] [빌더·실험 저장소 URL — 공개 후 기입]</w:t>
      </w:r>
    </w:p>
    <w:p>
      <w:pPr>
        <w:spacing w:after="20" w:line="240"/>
        <w:jc w:val="both"/>
      </w:pPr>
      <w:r>
        <w:rPr>
          <w:rFonts w:ascii="함초롬바탕" w:cs="함초롬바탕" w:eastAsia="함초롬바탕" w:hAnsi="함초롬바탕"/>
          <w:sz w:val="15"/>
          <w:szCs w:val="15"/>
        </w:rPr>
        <w:t xml:space="preserve">[6] [국내 공공데이터 품질·활용 선행연구 1~2편 — 저자 보강]</w:t>
      </w:r>
    </w:p>
    <w:sectPr>
      <w:pgSz w:w="11906" w:h="16838" w:orient="portrait"/>
      <w:pgMar w:top="1130" w:right="1270" w:bottom="1130" w:left="127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함초롬바탕" w:cs="함초롬바탕" w:eastAsia="함초롬바탕" w:hAnsi="함초롬바탕"/>
        <w:sz w:val="18"/>
        <w:szCs w:val="18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80" w:before="180"/>
    </w:pPr>
    <w:rPr>
      <w:rFonts w:ascii="함초롬바탕" w:cs="함초롬바탕" w:eastAsia="함초롬바탕" w:hAnsi="함초롬바탕"/>
      <w:b/>
      <w:bCs/>
      <w:color w:val="000000"/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60" w:before="140"/>
    </w:pPr>
    <w:rPr>
      <w:rFonts w:ascii="함초롬바탕" w:cs="함초롬바탕" w:eastAsia="함초롬바탕" w:hAnsi="함초롬바탕"/>
      <w:b/>
      <w:bCs/>
      <w:color w:val="000000"/>
      <w:sz w:val="18"/>
      <w:szCs w:val="1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2026-09-25T00:03:42.066Z</dcterms:created>
  <dcterms:modified xsi:type="dcterms:W3CDTF">2026-09-25T00:03:42.068Z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