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함초롬바탕" w:cs="함초롬바탕" w:eastAsia="함초롬바탕" w:hAnsi="함초롬바탕"/>
          <w:b/>
          <w:bCs/>
          <w:sz w:val="30"/>
          <w:szCs w:val="30"/>
        </w:rPr>
        <w:t xml:space="preserve">계약 기반 Medallion 파이프라인의 한국 공공데이터 적용에 대한 실증 평가</w:t>
      </w:r>
    </w:p>
    <w:p>
      <w:pPr>
        <w:spacing w:after="60"/>
        <w:jc w:val="center"/>
      </w:pPr>
      <w:r>
        <w:rPr>
          <w:rFonts w:ascii="함초롬바탕" w:cs="함초롬바탕" w:eastAsia="함초롬바탕" w:hAnsi="함초롬바탕"/>
          <w:i/>
          <w:iCs/>
          <w:sz w:val="20"/>
          <w:szCs w:val="20"/>
        </w:rPr>
        <w:t xml:space="preserve">An Empirical Evaluation of a Contract-Driven Medallion Pipeline for Korean Public Data</w:t>
      </w:r>
    </w:p>
    <w:p>
      <w:pPr>
        <w:spacing w:after="40"/>
        <w:jc w:val="center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[저자명]*, [저자명]**  ·  *[소속], **[소속]</w:t>
      </w:r>
    </w:p>
    <w:p>
      <w:pPr>
        <w:spacing w:after="200"/>
        <w:jc w:val="center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e-mail: [이메일]  |  발표자: [발표자명]</w:t>
      </w:r>
    </w:p>
    <w:p>
      <w:pPr>
        <w:pStyle w:val="Heading2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요   약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공공데이터는 같은 항목이 배포 세대마다 다른 표기로 제공되어, 분석마다 정제 코드를 새로 작성하게 만든다. 본 연구는 Bronze–Silver–Gold 계층과 명시적 Silver 계약을 갖춘 빌드 엔진을 구현하고, 서울시 아파트 실거래·전월세·따릉이 대여 3개 데이터셋(총 6,357,323행)에 적용해 세 가지를 측정했다. (1) 계약이 원천 표현의 무엇을 바꾸는가, (2) 계층을 저장하면 준비 코드와 재계산 비용이 어떻게 달라지는가, (3) 고정된 계약이 무엇을 재현하고 어디서 멈추는가. 계약은 데이터셋에 따라 역할 셀의 22.5~56.8%를 변경했다. 준비 코드는 계측 행을 제외했을 때 Bronze 대비 Silver에서 30~31% 줄었고, 네 조건은 동일한 분석 결과에 도달했다. 재계산은 무효화 지점에 따라 갈려, 분석 수준에서는 계층화가 최대 568배 빨랐으나 Silver 이상이 무효화되면 0.48~0.72배로 느렸다. 10회 재빌드는 단일 다이제스트로 수렴했고, 의미를 파괴하는 변형 20건 중 12건은 거부·8건은 통과했으며, 의미를 보존하는 변형 31건 중에서도 4건의 오거부와 1건의 무음 손상이 나왔다.</w:t>
      </w:r>
    </w:p>
    <w:p>
      <w:pPr>
        <w:pStyle w:val="Heading1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1. 서론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공공데이터포털이 제공하는 데이터는 배포 세대가 바뀌면 컬럼명·결측 표기·식별자 자릿수가 함께 바뀐다. 분석자는 매번 그 차이를 흡수하는 코드를 새로 쓰고, 그 코드는 분석 스크립트 안에 섞여 재사용되지 않는다. 데이터 웨어하우스 영역에서 널리 쓰이는 Medallion 아키텍처(Bronze–Silver–Gold)는 이 문제를 계층 분리로 다루지만, 한국 공공데이터를 대상으로 그 효과를 정량적으로 측정한 연구는 드물다.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본 연구는 계층화 자체가 아니라 계층 경계에 놓인 명시적 계약(contract)에 주목한다. Silver 계약은 원천 표현을 canonical 표현으로 옮기는 규칙을 선언으로 적는다. 본 연구의 기여는 다음과 같다.</w:t>
      </w:r>
    </w:p>
    <w:p>
      <w:pPr>
        <w:spacing w:after="60" w:line="240"/>
        <w:ind w:left="20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(1) 계약 기반 Bronze→Silver→Gold 빌드 엔진 구현 및 공개, (2) 3개 공공데이터셋에 대한 표준화·비용·재현성의 정량 평가, (3) 계약이 무엇을 잡고 무엇을 놓치는지에 대한 통제된 변형 실험.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본 연구가 주장하지 않는 것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. 계층화가 monolithic 스크립트보다 더 나은 변환을 만든다고 주장하지 않는다. 인적 노력을 줄인다고도 주장하지 않는다 — 사용자 실험은 수행하지 않았다.</w:t>
      </w:r>
    </w:p>
    <w:p>
      <w:pPr>
        <w:pStyle w:val="Heading1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2. 실험 설계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세 데이터셋을 동결된 스냅샷으로 고정하고, 각 스냅샷에 대해 하나의 Silver 계약을 선언했다. 분석 과제는 T1(자치구×월 가격 집계·추세)과 T3(실거래·전월세 조인, 전세가율) 두 가지이며, 각각 Bronze / Silver / Gold / monolithic 네 조건에서 수행했다.</w:t>
      </w:r>
    </w:p>
    <w:p>
      <w:pPr>
        <w:spacing w:after="120" w:before="60"/>
        <w:jc w:val="center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표 1. 데이터셋 범위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1800"/>
        <w:gridCol w:w="2760"/>
      </w:tblGrid>
      <w:tr>
        <w:trPr>
          <w:tblHeader/>
        </w:trPr>
        <w:tc>
          <w:tcPr>
            <w:tcW w:type="dxa" w:w="26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데이터셋</w:t>
            </w:r>
          </w:p>
        </w:tc>
        <w:tc>
          <w:tcPr>
            <w:tcW w:type="dxa" w:w="22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기간</w:t>
            </w:r>
          </w:p>
        </w:tc>
        <w:tc>
          <w:tcPr>
            <w:tcW w:type="dxa" w:w="18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원천 행 수</w:t>
            </w:r>
          </w:p>
        </w:tc>
        <w:tc>
          <w:tcPr>
            <w:tcW w:type="dxa" w:w="276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용도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서울 아파트 실거래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2020-01~2024-12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233,596</w:t>
            </w:r>
          </w:p>
        </w:tc>
        <w:tc>
          <w:tcPr>
            <w:tcW w:type="dxa" w:w="27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T1·T3, RQ1, R1, 변형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서울 아파트 전월세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2020-01~2024-12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1,221,491</w:t>
            </w:r>
          </w:p>
        </w:tc>
        <w:tc>
          <w:tcPr>
            <w:tcW w:type="dxa" w:w="27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T3, RQ1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서울 따릉이 대여(통합)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2020-01~2023-12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4,902,236</w:t>
            </w:r>
          </w:p>
        </w:tc>
        <w:tc>
          <w:tcPr>
            <w:tcW w:type="dxa" w:w="27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RQ1, R2</w:t>
            </w:r>
          </w:p>
        </w:tc>
      </w:tr>
    </w:tbl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measurement의 전제는 네 조건이 같은 분석 결과에 도달한다는 것이다. 이를 output_hash 일치로 확인했으며, 이는 연구 질문이 아니라 비용 비교의 타당성 조건이다. 재계산 비용은 무효화 범위를 S1(분석 수준)부터 S4(원천 수준)까지 네 단계로 나누어, pandas와 polars 두 엔진에서 warm-up 1회 후 5회를 교차 측정했다.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준비 코드의 경계.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어느 행이 "준비"인지를 사후에 판단하지 않기 위해, 각 조건은 prepare() 메서드를 구현하고 계측은 그 메서드와 전용 헬퍼만 센다. 분석 함수는 조건별로 두지 않고 하나를 모든 조건에 그대로 넘긴다. 다만 prepare() 안에는 단계 경계를 기록하는 계측 행(ctx.step)이 조건마다 0~7행 포함되며, 그 수는 변환 단계 수에 비례하므로 조건 간에 균일하지 않다. 따라서 3.2절은 원시 LOC와 계측 행을 뺀 LOC를 함께 보고한다.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통계는 기술 통계만 보고한다. 표본 구성상 추론 통계(p-값, 신뢰구간, 효과 크기)는 산출하지 않았다.</w:t>
      </w:r>
    </w:p>
    <w:p>
      <w:pPr>
        <w:pStyle w:val="Heading1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3. 결과</w:t>
      </w:r>
    </w:p>
    <w:p>
      <w:pPr>
        <w:pStyle w:val="Heading2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3.1 계약이 바꾸는 것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역할(role) 셀 단위로 Bronze와 Silver의 표현을 비교했다. 변경 원인은 결과를 보기 전에 규칙으로 고정했다.</w:t>
      </w:r>
    </w:p>
    <w:p>
      <w:pPr>
        <w:spacing w:after="120" w:before="60"/>
        <w:jc w:val="center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표 2. 데이터셋별 표현 변경률과 주된 원인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00"/>
        <w:gridCol w:w="1900"/>
        <w:gridCol w:w="1200"/>
        <w:gridCol w:w="2860"/>
      </w:tblGrid>
      <w:tr>
        <w:trPr>
          <w:tblHeader/>
        </w:trPr>
        <w:tc>
          <w:tcPr>
            <w:tcW w:type="dxa" w:w="15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데이터셋</w:t>
            </w:r>
          </w:p>
        </w:tc>
        <w:tc>
          <w:tcPr>
            <w:tcW w:type="dxa" w:w="19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역할 셀</w:t>
            </w:r>
          </w:p>
        </w:tc>
        <w:tc>
          <w:tcPr>
            <w:tcW w:type="dxa" w:w="19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변경 셀</w:t>
            </w:r>
          </w:p>
        </w:tc>
        <w:tc>
          <w:tcPr>
            <w:tcW w:type="dxa" w:w="12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변경률</w:t>
            </w:r>
          </w:p>
        </w:tc>
        <w:tc>
          <w:tcPr>
            <w:tcW w:type="dxa" w:w="286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주된 원인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실거래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4,905,516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1,168,608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0.238</w:t>
            </w:r>
          </w:p>
        </w:tc>
        <w:tc>
          <w:tcPr>
            <w:tcW w:type="dxa" w:w="28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타입 정규화, 수치 형식, 파생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전월세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21,986,838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4,941,299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0.225</w:t>
            </w:r>
          </w:p>
        </w:tc>
        <w:tc>
          <w:tcPr>
            <w:tcW w:type="dxa" w:w="28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타입 정규화, 수치 형식, 파생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따릉이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53,924,596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30,648,135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0.568</w:t>
            </w:r>
          </w:p>
        </w:tc>
        <w:tc>
          <w:tcPr>
            <w:tcW w:type="dxa" w:w="28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타입 정규화, 식별자 패딩, 연월·결측 정규화</w:t>
            </w:r>
          </w:p>
        </w:tc>
      </w:tr>
    </w:tbl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따릉이의 변경률이 두 배 이상 높은 것은 이 데이터셋만 배포 세대가 다섯 번 바뀌었기 때문이다. 대여소 식별자 자릿수(2,241,547셀), 연월 표기(1,914,327셀), 결측 표기(1,991,589셀)가 세대마다 달라, 계약이 흡수해야 할 표면이 그만큼 넓다.</w:t>
      </w:r>
    </w:p>
    <w:p>
      <w:pPr>
        <w:pStyle w:val="Heading2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3.2 계층을 저장하는 비용과 이득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네 조건 모두 동일한 output_hash를 산출해 equivalence gate를 통과했다. 준비 코드의 원시 LOC는 T1이 20→12→2, T3이 50→34→2로 계층을 올라갈수록 단조 감소했다. 그러나 이 수치에는 조건마다 다른 수의 계측 행이 섞여 있다. 계측 행을 빼면 Bronze→Silver 감소는 T1 13→9행(31%), T3 43→30행(30%)으로, 원시 값이 보여주던 40%·32%보다 작다.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두 가지를 감소로 읽어서는 안 된다.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첫째, Gold의 2행은 성과가 아니라 정의다 — Gold는 분석 입력 형태로 미리 집계해 둔 계층이므로 준비 코드가 load 한 줄로 줄어드는 것은 동어반복이며, 집계 비용은 사라진 것이 아니라 빌드 시점으로 옮겨갔을 뿐이다. 둘째, monolithic은 원시 LOC로는 Bronze보다 작지만(T1 16 대 20, T3 46 대 50) 계측 행을 빼면 오히려 크거나 비슷하다(T1 15 대 13, T3 45 대 43). 즉 "계층화가 monolithic보다 준비 코드를 줄인다"는 결론은 이 측정으로 지지되지 않는다. 지지되는 것은 Bronze에서 Silver로 갈 때의 감소뿐이다.</w:t>
      </w:r>
    </w:p>
    <w:p>
      <w:pPr>
        <w:spacing w:after="120" w:before="60"/>
        <w:jc w:val="center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표 3. 재계산 시간의 쌍 비교 (비율 = monolithic ÷ materialized, 1보다 크면 계층화가 빠름)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740"/>
        <w:gridCol w:w="1740"/>
        <w:gridCol w:w="1740"/>
        <w:gridCol w:w="1740"/>
      </w:tblGrid>
      <w:tr>
        <w:trPr>
          <w:tblHeader/>
        </w:trPr>
        <w:tc>
          <w:tcPr>
            <w:tcW w:type="dxa" w:w="24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과제·엔진</w:t>
            </w:r>
          </w:p>
        </w:tc>
        <w:tc>
          <w:tcPr>
            <w:tcW w:type="dxa" w:w="174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S1 분석</w:t>
            </w:r>
          </w:p>
        </w:tc>
        <w:tc>
          <w:tcPr>
            <w:tcW w:type="dxa" w:w="174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S2 Gold</w:t>
            </w:r>
          </w:p>
        </w:tc>
        <w:tc>
          <w:tcPr>
            <w:tcW w:type="dxa" w:w="174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S3 Silver</w:t>
            </w:r>
          </w:p>
        </w:tc>
        <w:tc>
          <w:tcPr>
            <w:tcW w:type="dxa" w:w="174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S4 원천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T1 · pandas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41.4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1.36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0.53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0.50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T1 · polars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8.67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1.14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0.48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0.48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T3 · pandas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567.9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1.48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0.70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0.72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T3 · polars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84.7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1.24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0.54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0.53</w:t>
            </w:r>
          </w:p>
        </w:tc>
      </w:tr>
    </w:tbl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결과는 방향이 뚜렷하게 갈린다. 무효화가 분석이나 Gold에만 미치면 계층화가 빠르고(S1에서 최대 568배), Silver 이상이 무효화되면 오히려 느리다(0.48~0.72배). 후자는 계층화가 체크포인트를 쓰고 다시 읽는 비용을 추가로 치르기 때문이며, 이 방향은 4개 과제×엔진 셀과 5개 쌍 전부에서 동일했다. 즉 계층화의 이득은 재계산 빈도가 어디에 몰리는가에 달려 있다.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저장 비용은 같은 Parquet 조건에서 Bronze 대비 Silver가 0.92~0.99배였다. 두 계층을 모두 보관하면 약 1.93~1.99배가 된다.</w:t>
      </w:r>
    </w:p>
    <w:p>
      <w:pPr>
        <w:pStyle w:val="Heading2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3.3 고정 계약이 재현하는 것과 멈추는 곳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동일 스냅샷·계약·빌더로 10회 재빌드한 결과 10회 모두 성공했고 다이제스트는 하나로 수렴했으며 canonical Silver와 바이트 단위로 일치했다.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고정된 계약 하나로 따릉이 원천 세대 다섯을 빌드했을 때 G1·G2·I1·G3와 통합본은 행 손실 없이 통과했고, G4는 silver/coalesce 단계에서 fail-closed로 멈췄다. G4는 관측 단위 자체가 바뀐 세대다 — 계약이 조용히 잘못된 결과를 내는 대신 멈춘 것은 의도된 동작이다.</w:t>
      </w:r>
    </w:p>
    <w:p>
      <w:pPr>
        <w:spacing w:after="120" w:before="60"/>
        <w:jc w:val="center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표 4. 의미 파괴 변형 20건에 대한 계약의 반응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920"/>
        <w:gridCol w:w="1920"/>
        <w:gridCol w:w="1920"/>
      </w:tblGrid>
      <w:tr>
        <w:trPr>
          <w:tblHeader/>
        </w:trPr>
        <w:tc>
          <w:tcPr>
            <w:tcW w:type="dxa" w:w="36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계약 분류</w:t>
            </w:r>
          </w:p>
        </w:tc>
        <w:tc>
          <w:tcPr>
            <w:tcW w:type="dxa" w:w="192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변형</w:t>
            </w:r>
          </w:p>
        </w:tc>
        <w:tc>
          <w:tcPr>
            <w:tcW w:type="dxa" w:w="192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거부</w:t>
            </w:r>
          </w:p>
        </w:tc>
        <w:tc>
          <w:tcPr>
            <w:tcW w:type="dxa" w:w="192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무음 통과</w:t>
            </w:r>
          </w:p>
        </w:tc>
      </w:tr>
      <w:tr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선언됨 / 포괄됨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12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12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표현 가능하나 미선언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5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5</w:t>
            </w:r>
          </w:p>
        </w:tc>
      </w:tr>
      <w:tr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현재 spec으로 표현 불가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3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3</w:t>
            </w:r>
          </w:p>
        </w:tc>
      </w:tr>
      <w:tr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합계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20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12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8</w:t>
            </w:r>
          </w:p>
        </w:tc>
      </w:tr>
    </w:tbl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통과한 8건 중 5건은 계약 언어가 표현할 수 있었으나 계약이 선언하지 않은 것이고, 3건은 현재 언어로 표현할 수 없는 것이다. 다만 이 분류는 저자가 사후에 부여한 것이며 "표현 가능"의 기준도 저자가 정했다. 따라서 이 분해는 도구의 성능이 아니라, 남은 간격 중 어디까지가 작성 관행의 문제이고 어디부터가 언어 확장의 요구사항인지를 가르는 진단으로만 읽어야 한다.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반대 방향의 오류.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의미를 보존하는 변형 31건에서는 26건이 올바르게 수용됐으나, 4건은 잘못 거부됐고(silver의 tabularize 2건, cast 1건, zfill 1건) 1건은 값이 바뀐 채 통과했다(T-P10, 28,777셀). 오거부 4건은 계약이 원천의 정상적인 표기 변이를 과도하게 좁게 선언한 경우로, 운영에서는 멀쩡한 세대를 거부하는 비용으로 나타난다. 무음 손상 1건은 거부 실패 8건과 같은 성격의 사각지대다. 요약하면 이 계약은 51건 중 38건에서 옳았고, 13건에서 틀렸으며, 그 틀림은 양방향이다.</w:t>
      </w:r>
    </w:p>
    <w:p>
      <w:pPr>
        <w:pStyle w:val="Heading1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4. 타당성 위협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구성 타당도.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LOC는 개발 비용을 대표하지 않는다. 그래서 LOC 단독이 아니라 함수 수·변환 단계 수·실행 시간을 함께 보고했고, 3.2절에서 보듯 지표에 따라 결론이 달라진다 — 원시 LOC는 monolithic이 더 작다고, 계측 행을 뺀 LOC는 그렇지 않다고 말한다. 인적 노력에 대한 주장은 하지 않는다.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내적 타당도.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Gold가 분석의 답을 미리 담고 있으면 Gold에 유리한 실험이 된다. 이를 막기 위해 분석 함수는 조건별로 두지 않고 하나를 네 조건 모두에 그대로 넘겼으며, Gold에는 재사용 가능한 집계(자치구×월)까지만 두고 추세·전세가율 같은 최종 산출은 분석 함수에 남겼다. 그럼에도 Gold의 준비 코드 2행은 성과가 아니라 이 설계의 정의상 귀결이므로 감소 폭에서 제외해 읽어야 한다.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기준선 편향.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monolithic을 일부러 비효율적으로 구현하면 계층화가 유리해진다. 이를 막기 위해 monolithic은 특수 경로가 아니라 동일한 변환 헬퍼를 재사용하는 일반 조건으로 구현했고, 중간 산출을 저장하지 않는 것만이 차이다. 네 조건의 output_hash 일치가 이 동일성을 사후 검증한다.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기준 통계 타당도.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외부 공식 통계를 절대 기준으로 삼지 않았고, 대조 자체를 수행하지 않았다. 전세가율은 분모 정의·시점·거래 필터에 따라 값이 3.6%p 이동하므로, 대조를 하면 차이가 파이프라인에서 왔는지 정의에서 왔는지 분리할 수 없다. 또한 T3의 조인 매칭률은 0.634로 37%가 매칭되지 않았다 — 단지명 표기 불일치 때문이며 계약은 단지명을 canonical 키로 정규화하지 않는다. 따라서 T3의 값은 매칭된 부분집합에 대한 것이다.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외적 타당도와 표본.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측정은 서울시 3개 데이터셋, 2개 분석 과제, 1대의 장비에 한정된다. 시간 측정은 조건당 5쌍이고 warm-up 1회 뒤 교차 측정했으나, 표본이 작아 추론 통계는 산출하지 않고 쌍별 중앙값만 보고한다. S3·S4에서 관측된 역전은 4개 과제×엔진 셀과 5개 쌍 전부에서 방향이 같았다는 점까지가 근거이며, 그 크기는 장비에 의존한다. 사용자 실험은 수행하지 않았으므로 학습 비용·작성 난이도에 대한 결론은 이 연구의 범위 밖이다.</w:t>
      </w:r>
    </w:p>
    <w:p>
      <w:pPr>
        <w:pStyle w:val="Heading1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5. 결론 및 향후 과제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계약 기반 Medallion 파이프라인을 한국 공공데이터에 적용해, 표준화가 무엇을 바꾸는지, 계층 저장이 무엇을 주고받는지, 고정 계약이 어디서 멈추는지를 정량화했다. 세 결과 모두 조건부다. 준비 코드의 감소는 Bronze에서 Silver로 갈 때만 지지되고, 재계산 이득은 무효화가 분석·Gold에 머무를 때만 성립하며, 계약의 오류는 놓치는 쪽과 과도하게 막는 쪽 양방향으로 나타났다(51건 중 13건). 계층화가 무조건 낫다는 결론은 이 측정에서 나오지 않는다.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향후 과제는 세 가지다. (1) 단지명 정규화를 계약 언어에 포함해 T3 매칭률을 높이는 것, (2) 정의 민감도를 통제한 뒤 외부 통계와 대조하는 것, (3) 표현 불가로 분류된 3건을 계약 언어 확장의 요구사항으로 환원하는 것이다.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재현성.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본문의 모든 숫자는 동결된 결과 파일에서 생성된 표에서 인용했고, 결과 파일의 sha256은 빌더·논문 커밋 쌍에 묶여 검사된다. 측정값·실험 코드·계약·스냅샷 메타데이터는 공개 저장소에 있다. 스냅샷 바이트(Parquet 약 197MB)는 크기 때문에 저장소 밖에 별도 게시한다.</w:t>
      </w:r>
    </w:p>
    <w:p>
      <w:pPr>
        <w:pStyle w:val="Heading1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참고문헌</w:t>
      </w:r>
    </w:p>
    <w:p>
      <w:pPr>
        <w:spacing w:after="20" w:line="240"/>
        <w:jc w:val="both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[1] Databricks, "What is a Medallion Architecture?", 2022.</w:t>
      </w:r>
    </w:p>
    <w:p>
      <w:pPr>
        <w:spacing w:after="20" w:line="240"/>
        <w:jc w:val="both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[2] 공공데이터포털, https://www.data.go.kr</w:t>
      </w:r>
    </w:p>
    <w:p>
      <w:pPr>
        <w:spacing w:after="20" w:line="240"/>
        <w:jc w:val="both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[3] 서울 열린데이터광장, https://data.seoul.go.kr</w:t>
      </w:r>
    </w:p>
    <w:p>
      <w:pPr>
        <w:spacing w:after="20" w:line="240"/>
        <w:jc w:val="both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[4] [빌더·실험 저장소 URL — 공개 후 기입]</w:t>
      </w:r>
    </w:p>
    <w:p>
      <w:pPr>
        <w:spacing w:after="20" w:line="240"/>
        <w:jc w:val="both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[5] [Medallion/데이터 품질 관련 국내 선행연구 1~2편 보강 필요]</w:t>
      </w:r>
    </w:p>
    <w:sectPr>
      <w:pgSz w:w="11906" w:h="16838" w:orient="portrait"/>
      <w:pgMar w:top="1130" w:right="1270" w:bottom="1130" w:left="127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함초롬바탕" w:cs="함초롬바탕" w:eastAsia="함초롬바탕" w:hAnsi="함초롬바탕"/>
        <w:sz w:val="18"/>
        <w:szCs w:val="18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80" w:before="180"/>
    </w:pPr>
    <w:rPr>
      <w:rFonts w:ascii="함초롬바탕" w:cs="함초롬바탕" w:eastAsia="함초롬바탕" w:hAnsi="함초롬바탕"/>
      <w:b/>
      <w:bCs/>
      <w:color w:val="000000"/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60" w:before="140"/>
    </w:pPr>
    <w:rPr>
      <w:rFonts w:ascii="함초롬바탕" w:cs="함초롬바탕" w:eastAsia="함초롬바탕" w:hAnsi="함초롬바탕"/>
      <w:b/>
      <w:bCs/>
      <w:color w:val="000000"/>
      <w:sz w:val="18"/>
      <w:szCs w:val="1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2026-09-24T23:59:52.629Z</dcterms:created>
  <dcterms:modified xsi:type="dcterms:W3CDTF">2026-09-24T23:59:52.631Z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