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함초롬바탕" w:cs="함초롬바탕" w:eastAsia="함초롬바탕" w:hAnsi="함초롬바탕"/>
          <w:b/>
          <w:bCs/>
          <w:sz w:val="30"/>
          <w:szCs w:val="30"/>
        </w:rPr>
        <w:t xml:space="preserve">계약 기반 Medallion 파이프라인의 한국 공공데이터 적용에 대한 실증 평가</w:t>
      </w:r>
    </w:p>
    <w:p>
      <w:pPr>
        <w:spacing w:after="60"/>
        <w:jc w:val="center"/>
      </w:pP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An Empirical Evaluation of a Contract-Driven Medallion Pipeline for Korean Public Data</w:t>
      </w:r>
    </w:p>
    <w:p>
      <w:pPr>
        <w:spacing w:after="40"/>
        <w:jc w:val="center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[저자명]*, [저자명]**  ·  *[소속], **[소속]</w:t>
      </w:r>
    </w:p>
    <w:p>
      <w:pPr>
        <w:spacing w:after="200"/>
        <w:jc w:val="center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e-mail: [이메일]  |  발표자: [발표자명]</w:t>
      </w:r>
    </w:p>
    <w:p>
      <w:pPr>
        <w:pStyle w:val="Heading2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요   약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공공데이터는 같은 항목이 배포 세대마다 다른 표기로 제공되어, 분석마다 정제 코드를 새로 작성하게 만든다. 본 연구는 Bronze–Silver–Gold 계층과 명시적 Silver 계약을 갖춘 빌드 엔진을 구현하고, 서울시 아파트 실거래·전월세·따릉이 대여 3개 데이터셋(총 6,357,323행)에 적용해 세 가지를 측정했다. (1) 계약이 원천 표현의 무엇을 바꾸는가, (2) 계층을 저장하면 준비 코드와 재계산 비용이 어떻게 달라지는가, (3) 고정된 계약이 무엇을 재현하고 어디서 멈추는가. 계약은 데이터셋에 따라 역할 셀의 22.5~56.8%를 변경했고, 준비 코드는 Bronze 대비 Silver에서 40~32%, Gold에서 90~96% 줄었으며, 네 조건은 동일한 분석 결과에 도달했다. 10회 재빌드는 단일 다이제스트로 수렴했고, 의미를 파괴하는 변형 20건 중 12건은 거부됐으나 8건은 통과했다. 통과한 8건의 분해가 계약 언어의 현재 경계를 보여준다.</w:t>
      </w:r>
    </w:p>
    <w:p>
      <w:pPr>
        <w:pStyle w:val="Heading1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1. 서론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공공데이터포털이 제공하는 데이터는 배포 세대가 바뀌면 컬럼명·결측 표기·식별자 자릿수가 함께 바뀐다. 분석자는 매번 그 차이를 흡수하는 코드를 새로 쓰고, 그 코드는 분석 스크립트 안에 섞여 재사용되지 않는다. 데이터 웨어하우스 영역에서 널리 쓰이는 Medallion 아키텍처(Bronze–Silver–Gold)는 이 문제를 계층 분리로 다루지만, 한국 공공데이터를 대상으로 그 효과를 정량적으로 측정한 연구는 드물다.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본 연구는 계층화 자체가 아니라 계층 경계에 놓인 명시적 계약(contract)에 주목한다. Silver 계약은 원천 표현을 canonical 표현으로 옮기는 규칙을 선언으로 적는다. 본 연구의 기여는 다음과 같다.</w:t>
      </w:r>
    </w:p>
    <w:p>
      <w:pPr>
        <w:spacing w:after="60" w:line="240"/>
        <w:ind w:left="20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(1) 계약 기반 Bronze→Silver→Gold 빌드 엔진 구현 및 공개, (2) 3개 공공데이터셋에 대한 표준화·비용·재현성의 정량 평가, (3) 계약이 무엇을 잡고 무엇을 놓치는지에 대한 통제된 변형 실험.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본 연구가 주장하지 않는 것</w:t>
      </w:r>
      <w:r>
        <w:rPr>
          <w:rFonts w:ascii="함초롬바탕" w:cs="함초롬바탕" w:eastAsia="함초롬바탕" w:hAnsi="함초롬바탕"/>
          <w:sz w:val="18"/>
          <w:szCs w:val="18"/>
        </w:rPr>
        <w:t xml:space="preserve">. 계층화가 monolithic 스크립트보다 더 나은 변환을 만든다고 주장하지 않는다. 인적 노력을 줄인다고도 주장하지 않는다 — 사용자 실험은 수행하지 않았다.</w:t>
      </w:r>
    </w:p>
    <w:p>
      <w:pPr>
        <w:pStyle w:val="Heading1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2. 실험 설계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세 데이터셋을 동결된 스냅샷으로 고정하고, 각 스냅샷에 대해 하나의 Silver 계약을 선언했다. 분석 과제는 T1(자치구×월 가격 집계·추세)과 T3(실거래·전월세 조인, 전세가율) 두 가지이며, 각각 Bronze / Silver / Gold / monolithic 네 조건에서 수행했다.</w:t>
      </w:r>
    </w:p>
    <w:p>
      <w:pPr>
        <w:spacing w:after="120" w:before="60"/>
        <w:jc w:val="center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표 1. 데이터셋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760"/>
      </w:tblGrid>
      <w:tr>
        <w:trPr>
          <w:tblHeader/>
        </w:trPr>
        <w:tc>
          <w:tcPr>
            <w:tcW w:type="dxa" w:w="26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데이터셋</w:t>
            </w:r>
          </w:p>
        </w:tc>
        <w:tc>
          <w:tcPr>
            <w:tcW w:type="dxa" w:w="22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기간</w:t>
            </w:r>
          </w:p>
        </w:tc>
        <w:tc>
          <w:tcPr>
            <w:tcW w:type="dxa" w:w="18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원천 행 수</w:t>
            </w:r>
          </w:p>
        </w:tc>
        <w:tc>
          <w:tcPr>
            <w:tcW w:type="dxa" w:w="276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용도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서울 아파트 실거래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2020-01~2024-12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233,596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T1·T3, RQ1, R1, 변형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서울 아파트 전월세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2020-01~2024-12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1,221,491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T3, RQ1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서울 따릉이 대여(통합)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2020-01~2023-12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4,902,236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RQ1, R2</w:t>
            </w:r>
          </w:p>
        </w:tc>
      </w:tr>
    </w:tbl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measurement의 전제는 네 조건이 같은 분석 결과에 도달한다는 것이다. 이를 output_hash 일치로 확인했으며, 이는 연구 질문이 아니라 비용 비교의 타당성 조건이다. 재계산 비용은 무효화 범위를 S1(분석 수준)부터 S4(원천 수준)까지 네 단계로 나누어, pandas와 polars 두 엔진에서 warm-up 1회 후 5회를 교차 측정했다.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통계는 기술 통계만 보고한다. 표본 구성상 추론 통계(p-값, 신뢰구간, 효과 크기)는 산출하지 않았다.</w:t>
      </w:r>
    </w:p>
    <w:p>
      <w:pPr>
        <w:pStyle w:val="Heading1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3. 결과</w:t>
      </w:r>
    </w:p>
    <w:p>
      <w:pPr>
        <w:pStyle w:val="Heading2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3.1 계약이 바꾸는 것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역할(role) 셀 단위로 Bronze와 Silver의 표현을 비교했다. 변경 원인은 결과를 보기 전에 규칙으로 고정했다.</w:t>
      </w:r>
    </w:p>
    <w:p>
      <w:pPr>
        <w:spacing w:after="120" w:before="60"/>
        <w:jc w:val="center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표 2. 데이터셋별 표현 변경률과 주된 원인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200"/>
        <w:gridCol w:w="2860"/>
      </w:tblGrid>
      <w:tr>
        <w:trPr>
          <w:tblHeader/>
        </w:trPr>
        <w:tc>
          <w:tcPr>
            <w:tcW w:type="dxa" w:w="15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데이터셋</w:t>
            </w:r>
          </w:p>
        </w:tc>
        <w:tc>
          <w:tcPr>
            <w:tcW w:type="dxa" w:w="19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역할 셀</w:t>
            </w:r>
          </w:p>
        </w:tc>
        <w:tc>
          <w:tcPr>
            <w:tcW w:type="dxa" w:w="19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변경 셀</w:t>
            </w:r>
          </w:p>
        </w:tc>
        <w:tc>
          <w:tcPr>
            <w:tcW w:type="dxa" w:w="12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변경률</w:t>
            </w:r>
          </w:p>
        </w:tc>
        <w:tc>
          <w:tcPr>
            <w:tcW w:type="dxa" w:w="286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주된 원인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실거래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4,905,516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1,168,608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0.238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타입 정규화, 수치 형식, 파생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전월세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21,986,838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4,941,299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0.225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타입 정규화, 수치 형식, 파생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따릉이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53,924,596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30,648,135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0.568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타입 정규화, 식별자 패딩, 연월·결측 정규화</w:t>
            </w:r>
          </w:p>
        </w:tc>
      </w:tr>
    </w:tbl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따릉이의 변경률이 두 배 이상 높은 것은 이 데이터셋만 배포 세대가 다섯 번 바뀌었기 때문이다. 대여소 식별자 자릿수(2,241,547셀), 연월 표기(1,914,327셀), 결측 표기(1,991,589셀)가 세대마다 달라, 계약이 흡수해야 할 표면이 그만큼 넓다.</w:t>
      </w:r>
    </w:p>
    <w:p>
      <w:pPr>
        <w:pStyle w:val="Heading2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3.2 계층을 저장하는 비용과 이득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준비 코드는 Bronze에서 Silver, Gold로 갈수록 단조 감소했다(T1: 20→12→2 LOC, T3: 50→34→2 LOC). monolithic은 Bronze와 비슷한 규모다(T1 16, T3 46). 네 조건 모두 동일한 output_hash를 산출해 equivalence gate를 통과했다.</w:t>
      </w:r>
    </w:p>
    <w:p>
      <w:pPr>
        <w:spacing w:after="120" w:before="60"/>
        <w:jc w:val="center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표 3. 재계산 시간의 쌍 비교 (비율 = monolithic ÷ materialized, 1보다 크면 계층화가 빠름)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과제·엔진</w:t>
            </w:r>
          </w:p>
        </w:tc>
        <w:tc>
          <w:tcPr>
            <w:tcW w:type="dxa" w:w="174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S1 분석</w:t>
            </w:r>
          </w:p>
        </w:tc>
        <w:tc>
          <w:tcPr>
            <w:tcW w:type="dxa" w:w="174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S2 Gold</w:t>
            </w:r>
          </w:p>
        </w:tc>
        <w:tc>
          <w:tcPr>
            <w:tcW w:type="dxa" w:w="174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S3 Silver</w:t>
            </w:r>
          </w:p>
        </w:tc>
        <w:tc>
          <w:tcPr>
            <w:tcW w:type="dxa" w:w="174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S4 원천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T1 · pandas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41.4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1.36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0.53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0.50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T1 · polars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8.67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1.14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0.48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0.48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T3 · pandas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567.9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1.48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0.70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0.72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T3 · polars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84.7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1.24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0.54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0.53</w:t>
            </w:r>
          </w:p>
        </w:tc>
      </w:tr>
    </w:tbl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결과는 방향이 뚜렷하게 갈린다. 무효화가 분석이나 Gold에만 미치면 계층화가 빠르고(S1에서 최대 567배), Silver 이상이 무효화되면 오히려 느리다(0.48~0.72배). 후자는 계층화가 체크포인트를 쓰고 다시 읽는 비용을 추가로 치르기 때문이며, 이 방향은 4개 과제×엔진 셀과 5개 쌍 전부에서 동일했다. 즉 계층화의 이득은 재계산 빈도가 어디에 몰리는가에 달려 있다.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저장 비용은 같은 Parquet 조건에서 Bronze 대비 Silver가 0.92~0.99배였다. 두 계층을 모두 보관하면 약 1.93~1.99배가 된다.</w:t>
      </w:r>
    </w:p>
    <w:p>
      <w:pPr>
        <w:pStyle w:val="Heading2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3.3 고정 계약이 재현하는 것과 멈추는 곳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동일 스냅샷·계약·빌더로 10회 재빌드한 결과 10회 모두 성공했고 다이제스트는 하나로 수렴했으며 canonical Silver와 바이트 단위로 일치했다.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고정된 계약 하나로 따릉이 원천 세대 다섯을 빌드했을 때 G1·G2·I1·G3와 통합본은 행 손실 없이 통과했고, G4는 silver/coalesce 단계에서 fail-closed로 멈췄다. G4는 관측 단위 자체가 바뀐 세대다 — 계약이 조용히 잘못된 결과를 내는 대신 멈춘 것은 의도된 동작이다.</w:t>
      </w:r>
    </w:p>
    <w:p>
      <w:pPr>
        <w:spacing w:after="120" w:before="60"/>
        <w:jc w:val="center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표 4. 의미 파괴 변형 20건에 대한 계약의 반응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계약 분류</w:t>
            </w:r>
          </w:p>
        </w:tc>
        <w:tc>
          <w:tcPr>
            <w:tcW w:type="dxa" w:w="192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변형</w:t>
            </w:r>
          </w:p>
        </w:tc>
        <w:tc>
          <w:tcPr>
            <w:tcW w:type="dxa" w:w="192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거부</w:t>
            </w:r>
          </w:p>
        </w:tc>
        <w:tc>
          <w:tcPr>
            <w:tcW w:type="dxa" w:w="1920"/>
            <w:shd w:fill="EFEFE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sz w:val="15"/>
                <w:szCs w:val="15"/>
              </w:rPr>
              <w:t xml:space="preserve">무음 통과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선언됨 / 포괄됨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12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12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표현 가능하나 미선언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5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현재 spec으로 표현 불가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3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0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합계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20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12</w:t>
            </w:r>
          </w:p>
        </w:tc>
        <w:tc>
          <w:tcPr>
            <w:tcW w:type="dxa" w:w="19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함초롬바탕" w:cs="함초롬바탕" w:eastAsia="함초롬바탕" w:hAnsi="함초롬바탕"/>
                <w:sz w:val="15"/>
                <w:szCs w:val="15"/>
              </w:rPr>
              <w:t xml:space="preserve">8</w:t>
            </w:r>
          </w:p>
        </w:tc>
      </w:tr>
    </w:tbl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통과한 8건의 분해가 이 실험의 핵심이다. 5건은 계약 언어가 표현할 수 있었으나 계약이 선언하지 않은 것이고, 3건만이 언어 자체의 한계다. 즉 무음 통과의 다수는 언어의 결함이 아니라 선언의 공백이며, 이는 도구가 아니라 계약 작성 관행으로 좁힐 수 있는 간격이다.</w:t>
      </w:r>
    </w:p>
    <w:p>
      <w:pPr>
        <w:pStyle w:val="Heading1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4. 타당성 위협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T3의 조인 매칭률은 0.634로, 실거래와 전월세의 37%가 매칭되지 않았다. 원인은 두 원천의 단지명 표기 불일치이며, 계약은 단지명을 canonical 키로 정규화하지 않는다. 따라서 T3의 전세가율은 매칭된 부분집합에 대한 값이며, 서울시 전체를 대표하지 않는다.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외부 공개 통계와의 대조는 수행하지 않았다. 전세가율은 분모(보증금/매매가)와 시점, 거래 필터를 어떻게 정의하느냐에 따라 값이 3.6%p 이동한다. 이 조건에서 대조를 수행하면 차이가 파이프라인에서 왔는지 정의에서 왔는지 분리할 수 없다.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측정 대상은 서울시 3개 데이터셋과 2개 분석 과제로 한정된다. 다른 도메인·다른 배포 주기의 공공데이터로 일반화하려면 추가 측정이 필요하다. 인적 노력에 대한 주장은 하지 않는다 — LOC와 함수 수는 코드 규모의 지표이지 작성 난이도의 지표가 아니다.</w:t>
      </w:r>
    </w:p>
    <w:p>
      <w:pPr>
        <w:pStyle w:val="Heading1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5. 결론 및 향후 과제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계약 기반 Medallion 파이프라인을 한국 공공데이터에 적용해, 표준화가 무엇을 바꾸는지, 계층 저장이 무엇을 주고받는지, 고정 계약이 어디서 멈추는지를 정량화했다. 계층화의 재계산 이득은 무조건적이지 않고 무효화 지점에 달려 있으며, 계약의 사각지대 8건 중 5건은 언어가 아니라 선언의 공백이었다.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sz w:val="18"/>
          <w:szCs w:val="18"/>
        </w:rPr>
        <w:t xml:space="preserve">향후 과제는 세 가지다. (1) 단지명 정규화를 계약 언어에 포함해 T3 매칭률을 높이는 것, (2) 정의 민감도를 통제한 뒤 외부 통계와 대조하는 것, (3) 표현 불가로 분류된 3건을 계약 언어 확장의 요구사항으로 환원하는 것이다.</w:t>
      </w:r>
    </w:p>
    <w:p>
      <w:pPr>
        <w:spacing w:after="60" w:line="240"/>
        <w:jc w:val="both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재현성. </w:t>
      </w:r>
      <w:r>
        <w:rPr>
          <w:rFonts w:ascii="함초롬바탕" w:cs="함초롬바탕" w:eastAsia="함초롬바탕" w:hAnsi="함초롬바탕"/>
          <w:sz w:val="18"/>
          <w:szCs w:val="18"/>
        </w:rPr>
        <w:t xml:space="preserve">모든 측정값·스크립트·스냅샷 메타데이터는 공개 저장소에 있으며, 본문의 모든 숫자는 결과 파일에서 생성된 표에서 인용했다.</w:t>
      </w:r>
    </w:p>
    <w:p>
      <w:pPr>
        <w:pStyle w:val="Heading1"/>
        <w:spacing w:after="80" w:before="160"/>
      </w:pPr>
      <w:r>
        <w:rPr>
          <w:rFonts w:ascii="함초롬바탕" w:cs="함초롬바탕" w:eastAsia="함초롬바탕" w:hAnsi="함초롬바탕"/>
          <w:b/>
          <w:bCs/>
          <w:sz w:val="18"/>
          <w:szCs w:val="18"/>
        </w:rPr>
        <w:t xml:space="preserve">참고문헌</w:t>
      </w:r>
    </w:p>
    <w:p>
      <w:pPr>
        <w:spacing w:after="20" w:line="240"/>
        <w:jc w:val="both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[1] Databricks, "What is a Medallion Architecture?", 2022.</w:t>
      </w:r>
    </w:p>
    <w:p>
      <w:pPr>
        <w:spacing w:after="20" w:line="240"/>
        <w:jc w:val="both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[2] 공공데이터포털, https://www.data.go.kr</w:t>
      </w:r>
    </w:p>
    <w:p>
      <w:pPr>
        <w:spacing w:after="20" w:line="240"/>
        <w:jc w:val="both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[3] 서울 열린데이터광장, https://data.seoul.go.kr</w:t>
      </w:r>
    </w:p>
    <w:p>
      <w:pPr>
        <w:spacing w:after="20" w:line="240"/>
        <w:jc w:val="both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[4] [빌더·실험 저장소 URL — 공개 후 기입]</w:t>
      </w:r>
    </w:p>
    <w:p>
      <w:pPr>
        <w:spacing w:after="20" w:line="240"/>
        <w:jc w:val="both"/>
      </w:pPr>
      <w:r>
        <w:rPr>
          <w:rFonts w:ascii="함초롬바탕" w:cs="함초롬바탕" w:eastAsia="함초롬바탕" w:hAnsi="함초롬바탕"/>
          <w:sz w:val="15"/>
          <w:szCs w:val="15"/>
        </w:rPr>
        <w:t xml:space="preserve">[5] [Medallion/데이터 품질 관련 국내 선행연구 1~2편 보강 필요]</w:t>
      </w:r>
    </w:p>
    <w:sectPr>
      <w:pgSz w:w="11906" w:h="16838" w:orient="portrait"/>
      <w:pgMar w:top="1130" w:right="1270" w:bottom="113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18"/>
        <w:szCs w:val="18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180"/>
    </w:pPr>
    <w:rPr>
      <w:rFonts w:ascii="함초롬바탕" w:cs="함초롬바탕" w:eastAsia="함초롬바탕" w:hAnsi="함초롬바탕"/>
      <w:b/>
      <w:bCs/>
      <w:color w:val="000000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40"/>
    </w:pPr>
    <w:rPr>
      <w:rFonts w:ascii="함초롬바탕" w:cs="함초롬바탕" w:eastAsia="함초롬바탕" w:hAnsi="함초롬바탕"/>
      <w:b/>
      <w:bCs/>
      <w:color w:val="000000"/>
      <w:sz w:val="18"/>
      <w:szCs w:val="1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2026-09-24T11:57:41.950Z</dcterms:created>
  <dcterms:modified xsi:type="dcterms:W3CDTF">2026-09-24T11:57:41.951Z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