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SiloMath V6 — 10_DATABASE_SCHEMA</w:t>
      </w:r>
    </w:p>
    <w:p>
      <w:pPr>
        <w:jc w:val="center"/>
      </w:pPr>
      <w:r>
        <w:rPr>
          <w:b/>
          <w:sz w:val="24"/>
        </w:rPr>
        <w:t>Physical persistence contract — PostgreSQL + Room</w:t>
      </w:r>
    </w:p>
    <w:p>
      <w:pPr>
        <w:jc w:val="center"/>
      </w:pPr>
      <w:r>
        <w:t>Status: APPROVED / FROZEN V6</w:t>
      </w:r>
    </w:p>
    <w:p>
      <w:pPr>
        <w:pStyle w:val="Heading1"/>
      </w:pPr>
      <w:r>
        <w:t>1. Purpose and authority</w:t>
      </w:r>
    </w:p>
    <w:p>
      <w:r>
        <w:t>This document is the canonical V6 physical persistence contract for SiloMath. It maps the logical model frozen in 09_DATA_MODEL to PostgreSQL server persistence and Android Room/SQLite persistence. It does not redefine domain semantics.</w:t>
      </w:r>
    </w:p>
    <w:p>
      <w:r>
        <w:t>Authority chain: 01_PRODUCT_BASELINE → approved/frozen decisions → 09_DATA_MODEL + DM-D01–DM-D60 → approved DB-D01–DB-D64. If a physical convenience conflicts with a frozen semantic invariant, the semantic invariant wins.</w:t>
      </w:r>
    </w:p>
    <w:p>
      <w:pPr>
        <w:pStyle w:val="Heading1"/>
      </w:pPr>
      <w:r>
        <w:t>2. Database topology</w:t>
      </w:r>
    </w:p>
    <w:p>
      <w:pPr>
        <w:pStyle w:val="ListBullet"/>
        <w:spacing w:after="40"/>
      </w:pPr>
      <w:r>
        <w:t>Server: PostgreSQL, application schema silomath.</w:t>
      </w:r>
    </w:p>
    <w:p>
      <w:pPr>
        <w:pStyle w:val="ListBullet"/>
        <w:spacing w:after="40"/>
      </w:pPr>
      <w:r>
        <w:t>Android: Room over SQLite for the authorized local/offline working set.</w:t>
      </w:r>
    </w:p>
    <w:p>
      <w:pPr>
        <w:pStyle w:val="ListBullet"/>
        <w:spacing w:after="40"/>
      </w:pPr>
      <w:r>
        <w:t>Evidence binaries: app-private files locally and object storage remotely; database metadata only.</w:t>
      </w:r>
    </w:p>
    <w:p>
      <w:pPr>
        <w:pStyle w:val="ListBullet"/>
        <w:spacing w:after="40"/>
      </w:pPr>
      <w:r>
        <w:t>Derived datasets: views/materialized views/Room projections are permitted but rebuildable.</w:t>
      </w:r>
    </w:p>
    <w:p>
      <w:pPr>
        <w:pStyle w:val="Heading1"/>
      </w:pPr>
      <w:r>
        <w:t>3. Canonical physical type mapping</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tcPr>
          <w:p>
            <w:r>
              <w:rPr>
                <w:b/>
              </w:rPr>
              <w:t>Semantic type</w:t>
            </w:r>
          </w:p>
        </w:tc>
        <w:tc>
          <w:tcPr>
            <w:tcW w:type="dxa" w:w="2592"/>
            <w:vAlign w:val="center"/>
          </w:tcPr>
          <w:p>
            <w:r>
              <w:rPr>
                <w:b/>
              </w:rPr>
              <w:t>PostgreSQL</w:t>
            </w:r>
          </w:p>
        </w:tc>
        <w:tc>
          <w:tcPr>
            <w:tcW w:type="dxa" w:w="2592"/>
            <w:vAlign w:val="center"/>
          </w:tcPr>
          <w:p>
            <w:r>
              <w:rPr>
                <w:b/>
              </w:rPr>
              <w:t>Room / SQLite</w:t>
            </w:r>
          </w:p>
        </w:tc>
        <w:tc>
          <w:tcPr>
            <w:tcW w:type="dxa" w:w="2592"/>
            <w:vAlign w:val="center"/>
          </w:tcPr>
          <w:p>
            <w:r>
              <w:rPr>
                <w:b/>
              </w:rPr>
              <w:t>Rule</w:t>
            </w:r>
          </w:p>
        </w:tc>
      </w:tr>
      <w:tr>
        <w:tc>
          <w:tcPr>
            <w:tcW w:type="dxa" w:w="2592"/>
            <w:vAlign w:val="top"/>
          </w:tcPr>
          <w:p>
            <w:pPr>
              <w:spacing w:after="0"/>
            </w:pPr>
            <w:r>
              <w:rPr>
                <w:sz w:val="15"/>
              </w:rPr>
              <w:t>UUID</w:t>
            </w:r>
          </w:p>
        </w:tc>
        <w:tc>
          <w:tcPr>
            <w:tcW w:type="dxa" w:w="2592"/>
            <w:vAlign w:val="top"/>
          </w:tcPr>
          <w:p>
            <w:pPr>
              <w:spacing w:after="0"/>
            </w:pPr>
            <w:r>
              <w:rPr>
                <w:sz w:val="15"/>
              </w:rPr>
              <w:t>UUID</w:t>
            </w:r>
          </w:p>
        </w:tc>
        <w:tc>
          <w:tcPr>
            <w:tcW w:type="dxa" w:w="2592"/>
            <w:vAlign w:val="top"/>
          </w:tcPr>
          <w:p>
            <w:pPr>
              <w:spacing w:after="0"/>
            </w:pPr>
            <w:r>
              <w:rPr>
                <w:sz w:val="15"/>
              </w:rPr>
              <w:t>TEXT</w:t>
            </w:r>
          </w:p>
        </w:tc>
        <w:tc>
          <w:tcPr>
            <w:tcW w:type="dxa" w:w="2592"/>
            <w:vAlign w:val="top"/>
          </w:tcPr>
          <w:p>
            <w:pPr>
              <w:spacing w:after="0"/>
            </w:pPr>
            <w:r>
              <w:rPr>
                <w:sz w:val="15"/>
              </w:rPr>
              <w:t>Canonical lowercase UUID string locally.</w:t>
            </w:r>
          </w:p>
        </w:tc>
      </w:tr>
      <w:tr>
        <w:tc>
          <w:tcPr>
            <w:tcW w:type="dxa" w:w="2592"/>
            <w:vAlign w:val="top"/>
          </w:tcPr>
          <w:p>
            <w:pPr>
              <w:spacing w:after="0"/>
            </w:pPr>
            <w:r>
              <w:rPr>
                <w:sz w:val="15"/>
              </w:rPr>
              <w:t>UTC instant</w:t>
            </w:r>
          </w:p>
        </w:tc>
        <w:tc>
          <w:tcPr>
            <w:tcW w:type="dxa" w:w="2592"/>
            <w:vAlign w:val="top"/>
          </w:tcPr>
          <w:p>
            <w:pPr>
              <w:spacing w:after="0"/>
            </w:pPr>
            <w:r>
              <w:rPr>
                <w:sz w:val="15"/>
              </w:rPr>
              <w:t>TIMESTAMPTZ</w:t>
            </w:r>
          </w:p>
        </w:tc>
        <w:tc>
          <w:tcPr>
            <w:tcW w:type="dxa" w:w="2592"/>
            <w:vAlign w:val="top"/>
          </w:tcPr>
          <w:p>
            <w:pPr>
              <w:spacing w:after="0"/>
            </w:pPr>
            <w:r>
              <w:rPr>
                <w:sz w:val="15"/>
              </w:rPr>
              <w:t>INTEGER</w:t>
            </w:r>
          </w:p>
        </w:tc>
        <w:tc>
          <w:tcPr>
            <w:tcW w:type="dxa" w:w="2592"/>
            <w:vAlign w:val="top"/>
          </w:tcPr>
          <w:p>
            <w:pPr>
              <w:spacing w:after="0"/>
            </w:pPr>
            <w:r>
              <w:rPr>
                <w:sz w:val="15"/>
              </w:rPr>
              <w:t>Epoch milliseconds; UTC semantics.</w:t>
            </w:r>
          </w:p>
        </w:tc>
      </w:tr>
      <w:tr>
        <w:tc>
          <w:tcPr>
            <w:tcW w:type="dxa" w:w="2592"/>
            <w:vAlign w:val="top"/>
          </w:tcPr>
          <w:p>
            <w:pPr>
              <w:spacing w:after="0"/>
            </w:pPr>
            <w:r>
              <w:rPr>
                <w:sz w:val="15"/>
              </w:rPr>
              <w:t>LocalDate</w:t>
            </w:r>
          </w:p>
        </w:tc>
        <w:tc>
          <w:tcPr>
            <w:tcW w:type="dxa" w:w="2592"/>
            <w:vAlign w:val="top"/>
          </w:tcPr>
          <w:p>
            <w:pPr>
              <w:spacing w:after="0"/>
            </w:pPr>
            <w:r>
              <w:rPr>
                <w:sz w:val="15"/>
              </w:rPr>
              <w:t>DATE</w:t>
            </w:r>
          </w:p>
        </w:tc>
        <w:tc>
          <w:tcPr>
            <w:tcW w:type="dxa" w:w="2592"/>
            <w:vAlign w:val="top"/>
          </w:tcPr>
          <w:p>
            <w:pPr>
              <w:spacing w:after="0"/>
            </w:pPr>
            <w:r>
              <w:rPr>
                <w:sz w:val="15"/>
              </w:rPr>
              <w:t>TEXT</w:t>
            </w:r>
          </w:p>
        </w:tc>
        <w:tc>
          <w:tcPr>
            <w:tcW w:type="dxa" w:w="2592"/>
            <w:vAlign w:val="top"/>
          </w:tcPr>
          <w:p>
            <w:pPr>
              <w:spacing w:after="0"/>
            </w:pPr>
            <w:r>
              <w:rPr>
                <w:sz w:val="15"/>
              </w:rPr>
              <w:t>ISO YYYY-MM-DD; no timezone conversion.</w:t>
            </w:r>
          </w:p>
        </w:tc>
      </w:tr>
      <w:tr>
        <w:tc>
          <w:tcPr>
            <w:tcW w:type="dxa" w:w="2592"/>
            <w:vAlign w:val="top"/>
          </w:tcPr>
          <w:p>
            <w:pPr>
              <w:spacing w:after="0"/>
            </w:pPr>
            <w:r>
              <w:rPr>
                <w:sz w:val="15"/>
              </w:rPr>
              <w:t>Decimal official</w:t>
            </w:r>
          </w:p>
        </w:tc>
        <w:tc>
          <w:tcPr>
            <w:tcW w:type="dxa" w:w="2592"/>
            <w:vAlign w:val="top"/>
          </w:tcPr>
          <w:p>
            <w:pPr>
              <w:spacing w:after="0"/>
            </w:pPr>
            <w:r>
              <w:rPr>
                <w:sz w:val="15"/>
              </w:rPr>
              <w:t>NUMERIC(20,6)</w:t>
            </w:r>
          </w:p>
        </w:tc>
        <w:tc>
          <w:tcPr>
            <w:tcW w:type="dxa" w:w="2592"/>
            <w:vAlign w:val="top"/>
          </w:tcPr>
          <w:p>
            <w:pPr>
              <w:spacing w:after="0"/>
            </w:pPr>
            <w:r>
              <w:rPr>
                <w:sz w:val="15"/>
              </w:rPr>
              <w:t>TEXT</w:t>
            </w:r>
          </w:p>
        </w:tc>
        <w:tc>
          <w:tcPr>
            <w:tcW w:type="dxa" w:w="2592"/>
            <w:vAlign w:val="top"/>
          </w:tcPr>
          <w:p>
            <w:pPr>
              <w:spacing w:after="0"/>
            </w:pPr>
            <w:r>
              <w:rPr>
                <w:sz w:val="15"/>
              </w:rPr>
              <w:t>Canonical decimal; never REAL.</w:t>
            </w:r>
          </w:p>
        </w:tc>
      </w:tr>
      <w:tr>
        <w:tc>
          <w:tcPr>
            <w:tcW w:type="dxa" w:w="2592"/>
            <w:vAlign w:val="top"/>
          </w:tcPr>
          <w:p>
            <w:pPr>
              <w:spacing w:after="0"/>
            </w:pPr>
            <w:r>
              <w:rPr>
                <w:sz w:val="15"/>
              </w:rPr>
              <w:t>Version/counter</w:t>
            </w:r>
          </w:p>
        </w:tc>
        <w:tc>
          <w:tcPr>
            <w:tcW w:type="dxa" w:w="2592"/>
            <w:vAlign w:val="top"/>
          </w:tcPr>
          <w:p>
            <w:pPr>
              <w:spacing w:after="0"/>
            </w:pPr>
            <w:r>
              <w:rPr>
                <w:sz w:val="15"/>
              </w:rPr>
              <w:t>BIGINT</w:t>
            </w:r>
          </w:p>
        </w:tc>
        <w:tc>
          <w:tcPr>
            <w:tcW w:type="dxa" w:w="2592"/>
            <w:vAlign w:val="top"/>
          </w:tcPr>
          <w:p>
            <w:pPr>
              <w:spacing w:after="0"/>
            </w:pPr>
            <w:r>
              <w:rPr>
                <w:sz w:val="15"/>
              </w:rPr>
              <w:t>INTEGER</w:t>
            </w:r>
          </w:p>
        </w:tc>
        <w:tc>
          <w:tcPr>
            <w:tcW w:type="dxa" w:w="2592"/>
            <w:vAlign w:val="top"/>
          </w:tcPr>
          <w:p>
            <w:pPr>
              <w:spacing w:after="0"/>
            </w:pPr>
            <w:r>
              <w:rPr>
                <w:sz w:val="15"/>
              </w:rPr>
              <w:t>entityVersion starts at 1.</w:t>
            </w:r>
          </w:p>
        </w:tc>
      </w:tr>
      <w:tr>
        <w:tc>
          <w:tcPr>
            <w:tcW w:type="dxa" w:w="2592"/>
            <w:vAlign w:val="top"/>
          </w:tcPr>
          <w:p>
            <w:pPr>
              <w:spacing w:after="0"/>
            </w:pPr>
            <w:r>
              <w:rPr>
                <w:sz w:val="15"/>
              </w:rPr>
              <w:t>Boolean</w:t>
            </w:r>
          </w:p>
        </w:tc>
        <w:tc>
          <w:tcPr>
            <w:tcW w:type="dxa" w:w="2592"/>
            <w:vAlign w:val="top"/>
          </w:tcPr>
          <w:p>
            <w:pPr>
              <w:spacing w:after="0"/>
            </w:pPr>
            <w:r>
              <w:rPr>
                <w:sz w:val="15"/>
              </w:rPr>
              <w:t>BOOLEAN</w:t>
            </w:r>
          </w:p>
        </w:tc>
        <w:tc>
          <w:tcPr>
            <w:tcW w:type="dxa" w:w="2592"/>
            <w:vAlign w:val="top"/>
          </w:tcPr>
          <w:p>
            <w:pPr>
              <w:spacing w:after="0"/>
            </w:pPr>
            <w:r>
              <w:rPr>
                <w:sz w:val="15"/>
              </w:rPr>
              <w:t>INTEGER</w:t>
            </w:r>
          </w:p>
        </w:tc>
        <w:tc>
          <w:tcPr>
            <w:tcW w:type="dxa" w:w="2592"/>
            <w:vAlign w:val="top"/>
          </w:tcPr>
          <w:p>
            <w:pPr>
              <w:spacing w:after="0"/>
            </w:pPr>
            <w:r>
              <w:rPr>
                <w:sz w:val="15"/>
              </w:rPr>
              <w:t>Room constrained to 0/1.</w:t>
            </w:r>
          </w:p>
        </w:tc>
      </w:tr>
      <w:tr>
        <w:tc>
          <w:tcPr>
            <w:tcW w:type="dxa" w:w="2592"/>
            <w:vAlign w:val="top"/>
          </w:tcPr>
          <w:p>
            <w:pPr>
              <w:spacing w:after="0"/>
            </w:pPr>
            <w:r>
              <w:rPr>
                <w:sz w:val="15"/>
              </w:rPr>
              <w:t>Enum</w:t>
            </w:r>
          </w:p>
        </w:tc>
        <w:tc>
          <w:tcPr>
            <w:tcW w:type="dxa" w:w="2592"/>
            <w:vAlign w:val="top"/>
          </w:tcPr>
          <w:p>
            <w:pPr>
              <w:spacing w:after="0"/>
            </w:pPr>
            <w:r>
              <w:rPr>
                <w:sz w:val="15"/>
              </w:rPr>
              <w:t>VARCHAR/TEXT + CHECK</w:t>
            </w:r>
          </w:p>
        </w:tc>
        <w:tc>
          <w:tcPr>
            <w:tcW w:type="dxa" w:w="2592"/>
            <w:vAlign w:val="top"/>
          </w:tcPr>
          <w:p>
            <w:pPr>
              <w:spacing w:after="0"/>
            </w:pPr>
            <w:r>
              <w:rPr>
                <w:sz w:val="15"/>
              </w:rPr>
              <w:t>TEXT</w:t>
            </w:r>
          </w:p>
        </w:tc>
        <w:tc>
          <w:tcPr>
            <w:tcW w:type="dxa" w:w="2592"/>
            <w:vAlign w:val="top"/>
          </w:tcPr>
          <w:p>
            <w:pPr>
              <w:spacing w:after="0"/>
            </w:pPr>
            <w:r>
              <w:rPr>
                <w:sz w:val="15"/>
              </w:rPr>
              <w:t>Stable uppercase codes.</w:t>
            </w:r>
          </w:p>
        </w:tc>
      </w:tr>
      <w:tr>
        <w:tc>
          <w:tcPr>
            <w:tcW w:type="dxa" w:w="2592"/>
            <w:vAlign w:val="top"/>
          </w:tcPr>
          <w:p>
            <w:pPr>
              <w:spacing w:after="0"/>
            </w:pPr>
            <w:r>
              <w:rPr>
                <w:sz w:val="15"/>
              </w:rPr>
              <w:t>SHA-256</w:t>
            </w:r>
          </w:p>
        </w:tc>
        <w:tc>
          <w:tcPr>
            <w:tcW w:type="dxa" w:w="2592"/>
            <w:vAlign w:val="top"/>
          </w:tcPr>
          <w:p>
            <w:pPr>
              <w:spacing w:after="0"/>
            </w:pPr>
            <w:r>
              <w:rPr>
                <w:sz w:val="15"/>
              </w:rPr>
              <w:t>validated CHAR/TEXT</w:t>
            </w:r>
          </w:p>
        </w:tc>
        <w:tc>
          <w:tcPr>
            <w:tcW w:type="dxa" w:w="2592"/>
            <w:vAlign w:val="top"/>
          </w:tcPr>
          <w:p>
            <w:pPr>
              <w:spacing w:after="0"/>
            </w:pPr>
            <w:r>
              <w:rPr>
                <w:sz w:val="15"/>
              </w:rPr>
              <w:t>TEXT</w:t>
            </w:r>
          </w:p>
        </w:tc>
        <w:tc>
          <w:tcPr>
            <w:tcW w:type="dxa" w:w="2592"/>
            <w:vAlign w:val="top"/>
          </w:tcPr>
          <w:p>
            <w:pPr>
              <w:spacing w:after="0"/>
            </w:pPr>
            <w:r>
              <w:rPr>
                <w:sz w:val="15"/>
              </w:rPr>
              <w:t>Lowercase hex, 64 chars.</w:t>
            </w:r>
          </w:p>
        </w:tc>
      </w:tr>
      <w:tr>
        <w:tc>
          <w:tcPr>
            <w:tcW w:type="dxa" w:w="2592"/>
            <w:vAlign w:val="top"/>
          </w:tcPr>
          <w:p>
            <w:pPr>
              <w:spacing w:after="0"/>
            </w:pPr>
            <w:r>
              <w:rPr>
                <w:sz w:val="15"/>
              </w:rPr>
              <w:t>Audit/conflict envelope</w:t>
            </w:r>
          </w:p>
        </w:tc>
        <w:tc>
          <w:tcPr>
            <w:tcW w:type="dxa" w:w="2592"/>
            <w:vAlign w:val="top"/>
          </w:tcPr>
          <w:p>
            <w:pPr>
              <w:spacing w:after="0"/>
            </w:pPr>
            <w:r>
              <w:rPr>
                <w:sz w:val="15"/>
              </w:rPr>
              <w:t>JSONB</w:t>
            </w:r>
          </w:p>
        </w:tc>
        <w:tc>
          <w:tcPr>
            <w:tcW w:type="dxa" w:w="2592"/>
            <w:vAlign w:val="top"/>
          </w:tcPr>
          <w:p>
            <w:pPr>
              <w:spacing w:after="0"/>
            </w:pPr>
            <w:r>
              <w:rPr>
                <w:sz w:val="15"/>
              </w:rPr>
              <w:t>TEXT JSON</w:t>
            </w:r>
          </w:p>
        </w:tc>
        <w:tc>
          <w:tcPr>
            <w:tcW w:type="dxa" w:w="2592"/>
            <w:vAlign w:val="top"/>
          </w:tcPr>
          <w:p>
            <w:pPr>
              <w:spacing w:after="0"/>
            </w:pPr>
            <w:r>
              <w:rPr>
                <w:sz w:val="15"/>
              </w:rPr>
              <w:t>Operational envelope only.</w:t>
            </w:r>
          </w:p>
        </w:tc>
      </w:tr>
    </w:tbl>
    <w:p>
      <w:pPr>
        <w:pStyle w:val="Heading1"/>
      </w:pPr>
      <w:r>
        <w:t>4. Naming, identity and metadata</w:t>
      </w:r>
    </w:p>
    <w:p>
      <w:pPr>
        <w:pStyle w:val="ListBullet"/>
        <w:spacing w:after="40"/>
      </w:pPr>
      <w:r>
        <w:t>Plural snake_case tables and snake_case columns.</w:t>
      </w:r>
    </w:p>
    <w:p>
      <w:pPr>
        <w:pStyle w:val="ListBullet"/>
        <w:spacing w:after="40"/>
      </w:pPr>
      <w:r>
        <w:t>Stable UUID is the PK; business Code remains separate.</w:t>
      </w:r>
    </w:p>
    <w:p>
      <w:pPr>
        <w:pStyle w:val="ListBullet"/>
        <w:spacing w:after="40"/>
      </w:pPr>
      <w:r>
        <w:t>Mutable synchronized records carry created/updated actor/time plus entity_version where required by 09.</w:t>
      </w:r>
    </w:p>
    <w:p>
      <w:pPr>
        <w:pStyle w:val="ListBullet"/>
        <w:spacing w:after="40"/>
      </w:pPr>
      <w:r>
        <w:t>Immutable versions/snapshots/events have creation/schema/version metadata and no semantic updated_at.</w:t>
      </w:r>
    </w:p>
    <w:p>
      <w:pPr>
        <w:pStyle w:val="ListBullet"/>
        <w:spacing w:after="40"/>
      </w:pPr>
      <w:r>
        <w:t>Codes are canonicalized before persistence. No generic deleted_at is introduced.</w:t>
      </w:r>
    </w:p>
    <w:p>
      <w:pPr>
        <w:pStyle w:val="Heading1"/>
      </w:pPr>
      <w:r>
        <w:t>5. Referential integrity and tenant isolation</w:t>
      </w:r>
    </w:p>
    <w:p>
      <w:pPr>
        <w:pStyle w:val="ListBullet"/>
        <w:spacing w:after="40"/>
      </w:pPr>
      <w:r>
        <w:t>Historical/business FKs default to RESTRICT/NO ACTION.</w:t>
      </w:r>
    </w:p>
    <w:p>
      <w:pPr>
        <w:pStyle w:val="ListBullet"/>
        <w:spacing w:after="40"/>
      </w:pPr>
      <w:r>
        <w:t>No destructive business/history cascading deletes.</w:t>
      </w:r>
    </w:p>
    <w:p>
      <w:pPr>
        <w:pStyle w:val="ListBullet"/>
        <w:spacing w:after="40"/>
      </w:pPr>
      <w:r>
        <w:t>Tenant ownership is direct or provable through an immutable parent chain; composite tenant FKs are used where practical.</w:t>
      </w:r>
    </w:p>
    <w:p>
      <w:pPr>
        <w:pStyle w:val="ListBullet"/>
        <w:spacing w:after="40"/>
      </w:pPr>
      <w:r>
        <w:t>Platform-governed shared definitions remain global.</w:t>
      </w:r>
    </w:p>
    <w:p>
      <w:pPr>
        <w:pStyle w:val="Heading1"/>
      </w:pPr>
      <w:r>
        <w:t>6. Authoritative physical table inventory</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Pr>
          <w:p>
            <w:r>
              <w:rPr>
                <w:b/>
              </w:rPr>
              <w:t>Physical table</w:t>
            </w:r>
          </w:p>
        </w:tc>
        <w:tc>
          <w:tcPr>
            <w:tcW w:type="dxa" w:w="2074"/>
            <w:vAlign w:val="center"/>
          </w:tcPr>
          <w:p>
            <w:r>
              <w:rPr>
                <w:b/>
              </w:rPr>
              <w:t>Logical record</w:t>
            </w:r>
          </w:p>
        </w:tc>
        <w:tc>
          <w:tcPr>
            <w:tcW w:type="dxa" w:w="2074"/>
            <w:vAlign w:val="center"/>
          </w:tcPr>
          <w:p>
            <w:r>
              <w:rPr>
                <w:b/>
              </w:rPr>
              <w:t>Persistence</w:t>
            </w:r>
          </w:p>
        </w:tc>
        <w:tc>
          <w:tcPr>
            <w:tcW w:type="dxa" w:w="2074"/>
            <w:vAlign w:val="center"/>
          </w:tcPr>
          <w:p>
            <w:r>
              <w:rPr>
                <w:b/>
              </w:rPr>
              <w:t>Core physical contract</w:t>
            </w:r>
          </w:p>
        </w:tc>
        <w:tc>
          <w:tcPr>
            <w:tcW w:type="dxa" w:w="2074"/>
            <w:vAlign w:val="center"/>
          </w:tcPr>
          <w:p>
            <w:r>
              <w:rPr>
                <w:b/>
              </w:rPr>
              <w:t>Critical constraints</w:t>
            </w:r>
          </w:p>
        </w:tc>
      </w:tr>
      <w:tr>
        <w:tc>
          <w:tcPr>
            <w:tcW w:type="dxa" w:w="2074"/>
            <w:vAlign w:val="top"/>
          </w:tcPr>
          <w:p>
            <w:pPr>
              <w:spacing w:after="0"/>
            </w:pPr>
            <w:r>
              <w:rPr>
                <w:sz w:val="15"/>
              </w:rPr>
              <w:t>users</w:t>
            </w:r>
          </w:p>
        </w:tc>
        <w:tc>
          <w:tcPr>
            <w:tcW w:type="dxa" w:w="2074"/>
            <w:vAlign w:val="top"/>
          </w:tcPr>
          <w:p>
            <w:pPr>
              <w:spacing w:after="0"/>
            </w:pPr>
            <w:r>
              <w:rPr>
                <w:sz w:val="15"/>
              </w:rPr>
              <w:t>User</w:t>
            </w:r>
          </w:p>
        </w:tc>
        <w:tc>
          <w:tcPr>
            <w:tcW w:type="dxa" w:w="2074"/>
            <w:vAlign w:val="top"/>
          </w:tcPr>
          <w:p>
            <w:pPr>
              <w:spacing w:after="0"/>
            </w:pPr>
            <w:r>
              <w:rPr>
                <w:sz w:val="15"/>
              </w:rPr>
              <w:t>Server + authorized local projection</w:t>
            </w:r>
          </w:p>
        </w:tc>
        <w:tc>
          <w:tcPr>
            <w:tcW w:type="dxa" w:w="2074"/>
            <w:vAlign w:val="top"/>
          </w:tcPr>
          <w:p>
            <w:pPr>
              <w:spacing w:after="0"/>
            </w:pPr>
            <w:r>
              <w:rPr>
                <w:sz w:val="15"/>
              </w:rPr>
              <w:t>user_id UUID PK; full_name; email; email_normalized UQ; lifecycle_status; created/updated metadata; entity_version</w:t>
            </w:r>
          </w:p>
        </w:tc>
        <w:tc>
          <w:tcPr>
            <w:tcW w:type="dxa" w:w="2074"/>
            <w:vAlign w:val="top"/>
          </w:tcPr>
          <w:p>
            <w:pPr>
              <w:spacing w:after="0"/>
            </w:pPr>
            <w:r>
              <w:rPr>
                <w:sz w:val="15"/>
              </w:rPr>
              <w:t>No hard delete; disabled history retained.</w:t>
            </w:r>
          </w:p>
        </w:tc>
      </w:tr>
      <w:tr>
        <w:tc>
          <w:tcPr>
            <w:tcW w:type="dxa" w:w="2074"/>
            <w:vAlign w:val="top"/>
          </w:tcPr>
          <w:p>
            <w:pPr>
              <w:spacing w:after="0"/>
            </w:pPr>
            <w:r>
              <w:rPr>
                <w:sz w:val="15"/>
              </w:rPr>
              <w:t>organizations</w:t>
            </w:r>
          </w:p>
        </w:tc>
        <w:tc>
          <w:tcPr>
            <w:tcW w:type="dxa" w:w="2074"/>
            <w:vAlign w:val="top"/>
          </w:tcPr>
          <w:p>
            <w:pPr>
              <w:spacing w:after="0"/>
            </w:pPr>
            <w:r>
              <w:rPr>
                <w:sz w:val="15"/>
              </w:rPr>
              <w:t>Organization</w:t>
            </w:r>
          </w:p>
        </w:tc>
        <w:tc>
          <w:tcPr>
            <w:tcW w:type="dxa" w:w="2074"/>
            <w:vAlign w:val="top"/>
          </w:tcPr>
          <w:p>
            <w:pPr>
              <w:spacing w:after="0"/>
            </w:pPr>
            <w:r>
              <w:rPr>
                <w:sz w:val="15"/>
              </w:rPr>
              <w:t>Server + authorized local projection</w:t>
            </w:r>
          </w:p>
        </w:tc>
        <w:tc>
          <w:tcPr>
            <w:tcW w:type="dxa" w:w="2074"/>
            <w:vAlign w:val="top"/>
          </w:tcPr>
          <w:p>
            <w:pPr>
              <w:spacing w:after="0"/>
            </w:pPr>
            <w:r>
              <w:rPr>
                <w:sz w:val="15"/>
              </w:rPr>
              <w:t>organization_id UUID PK; name; code UQ; address/city/country; lifecycle_status; mutation metadata</w:t>
            </w:r>
          </w:p>
        </w:tc>
        <w:tc>
          <w:tcPr>
            <w:tcW w:type="dxa" w:w="2074"/>
            <w:vAlign w:val="top"/>
          </w:tcPr>
          <w:p>
            <w:pPr>
              <w:spacing w:after="0"/>
            </w:pPr>
            <w:r>
              <w:rPr>
                <w:sz w:val="15"/>
              </w:rPr>
              <w:t>Tenant boundary.</w:t>
            </w:r>
          </w:p>
        </w:tc>
      </w:tr>
      <w:tr>
        <w:tc>
          <w:tcPr>
            <w:tcW w:type="dxa" w:w="2074"/>
            <w:vAlign w:val="top"/>
          </w:tcPr>
          <w:p>
            <w:pPr>
              <w:spacing w:after="0"/>
            </w:pPr>
            <w:r>
              <w:rPr>
                <w:sz w:val="15"/>
              </w:rPr>
              <w:t>organization_memberships</w:t>
            </w:r>
          </w:p>
        </w:tc>
        <w:tc>
          <w:tcPr>
            <w:tcW w:type="dxa" w:w="2074"/>
            <w:vAlign w:val="top"/>
          </w:tcPr>
          <w:p>
            <w:pPr>
              <w:spacing w:after="0"/>
            </w:pPr>
            <w:r>
              <w:rPr>
                <w:sz w:val="15"/>
              </w:rPr>
              <w:t>OrganizationMembership</w:t>
            </w:r>
          </w:p>
        </w:tc>
        <w:tc>
          <w:tcPr>
            <w:tcW w:type="dxa" w:w="2074"/>
            <w:vAlign w:val="top"/>
          </w:tcPr>
          <w:p>
            <w:pPr>
              <w:spacing w:after="0"/>
            </w:pPr>
            <w:r>
              <w:rPr>
                <w:sz w:val="15"/>
              </w:rPr>
              <w:t>Server + local authorization projection</w:t>
            </w:r>
          </w:p>
        </w:tc>
        <w:tc>
          <w:tcPr>
            <w:tcW w:type="dxa" w:w="2074"/>
            <w:vAlign w:val="top"/>
          </w:tcPr>
          <w:p>
            <w:pPr>
              <w:spacing w:after="0"/>
            </w:pPr>
            <w:r>
              <w:rPr>
                <w:sz w:val="15"/>
              </w:rPr>
              <w:t>membership_id UUID PK; organization_id FK; user_id FK; role; lifecycle_status; mutation metadata; UQ(org,user)</w:t>
            </w:r>
          </w:p>
        </w:tc>
        <w:tc>
          <w:tcPr>
            <w:tcW w:type="dxa" w:w="2074"/>
            <w:vAlign w:val="top"/>
          </w:tcPr>
          <w:p>
            <w:pPr>
              <w:spacing w:after="0"/>
            </w:pPr>
            <w:r>
              <w:rPr>
                <w:sz w:val="15"/>
              </w:rPr>
              <w:t>Last-active-Admin rule is transactional/server-side.</w:t>
            </w:r>
          </w:p>
        </w:tc>
      </w:tr>
      <w:tr>
        <w:tc>
          <w:tcPr>
            <w:tcW w:type="dxa" w:w="2074"/>
            <w:vAlign w:val="top"/>
          </w:tcPr>
          <w:p>
            <w:pPr>
              <w:spacing w:after="0"/>
            </w:pPr>
            <w:r>
              <w:rPr>
                <w:sz w:val="15"/>
              </w:rPr>
              <w:t>device_installations</w:t>
            </w:r>
          </w:p>
        </w:tc>
        <w:tc>
          <w:tcPr>
            <w:tcW w:type="dxa" w:w="2074"/>
            <w:vAlign w:val="top"/>
          </w:tcPr>
          <w:p>
            <w:pPr>
              <w:spacing w:after="0"/>
            </w:pPr>
            <w:r>
              <w:rPr>
                <w:sz w:val="15"/>
              </w:rPr>
              <w:t>DeviceInstallation</w:t>
            </w:r>
          </w:p>
        </w:tc>
        <w:tc>
          <w:tcPr>
            <w:tcW w:type="dxa" w:w="2074"/>
            <w:vAlign w:val="top"/>
          </w:tcPr>
          <w:p>
            <w:pPr>
              <w:spacing w:after="0"/>
            </w:pPr>
            <w:r>
              <w:rPr>
                <w:sz w:val="15"/>
              </w:rPr>
              <w:t>Server + device local</w:t>
            </w:r>
          </w:p>
        </w:tc>
        <w:tc>
          <w:tcPr>
            <w:tcW w:type="dxa" w:w="2074"/>
            <w:vAlign w:val="top"/>
          </w:tcPr>
          <w:p>
            <w:pPr>
              <w:spacing w:after="0"/>
            </w:pPr>
            <w:r>
              <w:rPr>
                <w:sz w:val="15"/>
              </w:rPr>
              <w:t>device_installation_id UUID PK; installation metadata; created/updated metadata</w:t>
            </w:r>
          </w:p>
        </w:tc>
        <w:tc>
          <w:tcPr>
            <w:tcW w:type="dxa" w:w="2074"/>
            <w:vAlign w:val="top"/>
          </w:tcPr>
          <w:p>
            <w:pPr>
              <w:spacing w:after="0"/>
            </w:pPr>
            <w:r>
              <w:rPr>
                <w:sz w:val="15"/>
              </w:rPr>
              <w:t>No hardware/IMEI/advertising ID.</w:t>
            </w:r>
          </w:p>
        </w:tc>
      </w:tr>
      <w:tr>
        <w:tc>
          <w:tcPr>
            <w:tcW w:type="dxa" w:w="2074"/>
            <w:vAlign w:val="top"/>
          </w:tcPr>
          <w:p>
            <w:pPr>
              <w:spacing w:after="0"/>
            </w:pPr>
            <w:r>
              <w:rPr>
                <w:sz w:val="15"/>
              </w:rPr>
              <w:t>locations</w:t>
            </w:r>
          </w:p>
        </w:tc>
        <w:tc>
          <w:tcPr>
            <w:tcW w:type="dxa" w:w="2074"/>
            <w:vAlign w:val="top"/>
          </w:tcPr>
          <w:p>
            <w:pPr>
              <w:spacing w:after="0"/>
            </w:pPr>
            <w:r>
              <w:rPr>
                <w:sz w:val="15"/>
              </w:rPr>
              <w:t>Location</w:t>
            </w:r>
          </w:p>
        </w:tc>
        <w:tc>
          <w:tcPr>
            <w:tcW w:type="dxa" w:w="2074"/>
            <w:vAlign w:val="top"/>
          </w:tcPr>
          <w:p>
            <w:pPr>
              <w:spacing w:after="0"/>
            </w:pPr>
            <w:r>
              <w:rPr>
                <w:sz w:val="15"/>
              </w:rPr>
              <w:t>Server + scoped Room</w:t>
            </w:r>
          </w:p>
        </w:tc>
        <w:tc>
          <w:tcPr>
            <w:tcW w:type="dxa" w:w="2074"/>
            <w:vAlign w:val="top"/>
          </w:tcPr>
          <w:p>
            <w:pPr>
              <w:spacing w:after="0"/>
            </w:pPr>
            <w:r>
              <w:rPr>
                <w:sz w:val="15"/>
              </w:rPr>
              <w:t>location_id UUID PK; organization_id FK; name; code; address/city/country/notes; lifecycle_status; metadata</w:t>
            </w:r>
          </w:p>
        </w:tc>
        <w:tc>
          <w:tcPr>
            <w:tcW w:type="dxa" w:w="2074"/>
            <w:vAlign w:val="top"/>
          </w:tcPr>
          <w:p>
            <w:pPr>
              <w:spacing w:after="0"/>
            </w:pPr>
            <w:r>
              <w:rPr>
                <w:sz w:val="15"/>
              </w:rPr>
              <w:t>UQ(org,code).</w:t>
            </w:r>
          </w:p>
        </w:tc>
      </w:tr>
      <w:tr>
        <w:tc>
          <w:tcPr>
            <w:tcW w:type="dxa" w:w="2074"/>
            <w:vAlign w:val="top"/>
          </w:tcPr>
          <w:p>
            <w:pPr>
              <w:spacing w:after="0"/>
            </w:pPr>
            <w:r>
              <w:rPr>
                <w:sz w:val="15"/>
              </w:rPr>
              <w:t>storage_units</w:t>
            </w:r>
          </w:p>
        </w:tc>
        <w:tc>
          <w:tcPr>
            <w:tcW w:type="dxa" w:w="2074"/>
            <w:vAlign w:val="top"/>
          </w:tcPr>
          <w:p>
            <w:pPr>
              <w:spacing w:after="0"/>
            </w:pPr>
            <w:r>
              <w:rPr>
                <w:sz w:val="15"/>
              </w:rPr>
              <w:t>StorageUnit</w:t>
            </w:r>
          </w:p>
        </w:tc>
        <w:tc>
          <w:tcPr>
            <w:tcW w:type="dxa" w:w="2074"/>
            <w:vAlign w:val="top"/>
          </w:tcPr>
          <w:p>
            <w:pPr>
              <w:spacing w:after="0"/>
            </w:pPr>
            <w:r>
              <w:rPr>
                <w:sz w:val="15"/>
              </w:rPr>
              <w:t>Server + scoped Room</w:t>
            </w:r>
          </w:p>
        </w:tc>
        <w:tc>
          <w:tcPr>
            <w:tcW w:type="dxa" w:w="2074"/>
            <w:vAlign w:val="top"/>
          </w:tcPr>
          <w:p>
            <w:pPr>
              <w:spacing w:after="0"/>
            </w:pPr>
            <w:r>
              <w:rPr>
                <w:sz w:val="15"/>
              </w:rPr>
              <w:t>storage_unit_id UUID PK; organization_id; location_id FK; name; code; description; lifecycle_status; metadata</w:t>
            </w:r>
          </w:p>
        </w:tc>
        <w:tc>
          <w:tcPr>
            <w:tcW w:type="dxa" w:w="2074"/>
            <w:vAlign w:val="top"/>
          </w:tcPr>
          <w:p>
            <w:pPr>
              <w:spacing w:after="0"/>
            </w:pPr>
            <w:r>
              <w:rPr>
                <w:sz w:val="15"/>
              </w:rPr>
              <w:t>UQ(location,code).</w:t>
            </w:r>
          </w:p>
        </w:tc>
      </w:tr>
      <w:tr>
        <w:tc>
          <w:tcPr>
            <w:tcW w:type="dxa" w:w="2074"/>
            <w:vAlign w:val="top"/>
          </w:tcPr>
          <w:p>
            <w:pPr>
              <w:spacing w:after="0"/>
            </w:pPr>
            <w:r>
              <w:rPr>
                <w:sz w:val="15"/>
              </w:rPr>
              <w:t>storage_spaces</w:t>
            </w:r>
          </w:p>
        </w:tc>
        <w:tc>
          <w:tcPr>
            <w:tcW w:type="dxa" w:w="2074"/>
            <w:vAlign w:val="top"/>
          </w:tcPr>
          <w:p>
            <w:pPr>
              <w:spacing w:after="0"/>
            </w:pPr>
            <w:r>
              <w:rPr>
                <w:sz w:val="15"/>
              </w:rPr>
              <w:t>StorageSpace</w:t>
            </w:r>
          </w:p>
        </w:tc>
        <w:tc>
          <w:tcPr>
            <w:tcW w:type="dxa" w:w="2074"/>
            <w:vAlign w:val="top"/>
          </w:tcPr>
          <w:p>
            <w:pPr>
              <w:spacing w:after="0"/>
            </w:pPr>
            <w:r>
              <w:rPr>
                <w:sz w:val="15"/>
              </w:rPr>
              <w:t>Server + scoped Room</w:t>
            </w:r>
          </w:p>
        </w:tc>
        <w:tc>
          <w:tcPr>
            <w:tcW w:type="dxa" w:w="2074"/>
            <w:vAlign w:val="top"/>
          </w:tcPr>
          <w:p>
            <w:pPr>
              <w:spacing w:after="0"/>
            </w:pPr>
            <w:r>
              <w:rPr>
                <w:sz w:val="15"/>
              </w:rPr>
              <w:t>storage_space_id UUID PK; organization_id; storage_unit_id FK; code; description; geometry_profile_id FK; lifecycle_status; metadata</w:t>
            </w:r>
          </w:p>
        </w:tc>
        <w:tc>
          <w:tcPr>
            <w:tcW w:type="dxa" w:w="2074"/>
            <w:vAlign w:val="top"/>
          </w:tcPr>
          <w:p>
            <w:pPr>
              <w:spacing w:after="0"/>
            </w:pPr>
            <w:r>
              <w:rPr>
                <w:sz w:val="15"/>
              </w:rPr>
              <w:t>UQ(unit,code); max capacity not editable here.</w:t>
            </w:r>
          </w:p>
        </w:tc>
      </w:tr>
      <w:tr>
        <w:tc>
          <w:tcPr>
            <w:tcW w:type="dxa" w:w="2074"/>
            <w:vAlign w:val="top"/>
          </w:tcPr>
          <w:p>
            <w:pPr>
              <w:spacing w:after="0"/>
            </w:pPr>
            <w:r>
              <w:rPr>
                <w:sz w:val="15"/>
              </w:rPr>
              <w:t>clients</w:t>
            </w:r>
          </w:p>
        </w:tc>
        <w:tc>
          <w:tcPr>
            <w:tcW w:type="dxa" w:w="2074"/>
            <w:vAlign w:val="top"/>
          </w:tcPr>
          <w:p>
            <w:pPr>
              <w:spacing w:after="0"/>
            </w:pPr>
            <w:r>
              <w:rPr>
                <w:sz w:val="15"/>
              </w:rPr>
              <w:t>Client</w:t>
            </w:r>
          </w:p>
        </w:tc>
        <w:tc>
          <w:tcPr>
            <w:tcW w:type="dxa" w:w="2074"/>
            <w:vAlign w:val="top"/>
          </w:tcPr>
          <w:p>
            <w:pPr>
              <w:spacing w:after="0"/>
            </w:pPr>
            <w:r>
              <w:rPr>
                <w:sz w:val="15"/>
              </w:rPr>
              <w:t>Server + scoped Room</w:t>
            </w:r>
          </w:p>
        </w:tc>
        <w:tc>
          <w:tcPr>
            <w:tcW w:type="dxa" w:w="2074"/>
            <w:vAlign w:val="top"/>
          </w:tcPr>
          <w:p>
            <w:pPr>
              <w:spacing w:after="0"/>
            </w:pPr>
            <w:r>
              <w:rPr>
                <w:sz w:val="15"/>
              </w:rPr>
              <w:t>client_id UUID PK; organization_id FK; name; code; tax_id; notes; lifecycle_status; metadata</w:t>
            </w:r>
          </w:p>
        </w:tc>
        <w:tc>
          <w:tcPr>
            <w:tcW w:type="dxa" w:w="2074"/>
            <w:vAlign w:val="top"/>
          </w:tcPr>
          <w:p>
            <w:pPr>
              <w:spacing w:after="0"/>
            </w:pPr>
            <w:r>
              <w:rPr>
                <w:sz w:val="15"/>
              </w:rPr>
              <w:t>UQ(org,code).</w:t>
            </w:r>
          </w:p>
        </w:tc>
      </w:tr>
      <w:tr>
        <w:tc>
          <w:tcPr>
            <w:tcW w:type="dxa" w:w="2074"/>
            <w:vAlign w:val="top"/>
          </w:tcPr>
          <w:p>
            <w:pPr>
              <w:spacing w:after="0"/>
            </w:pPr>
            <w:r>
              <w:rPr>
                <w:sz w:val="15"/>
              </w:rPr>
              <w:t>geometry_families</w:t>
            </w:r>
          </w:p>
        </w:tc>
        <w:tc>
          <w:tcPr>
            <w:tcW w:type="dxa" w:w="2074"/>
            <w:vAlign w:val="top"/>
          </w:tcPr>
          <w:p>
            <w:pPr>
              <w:spacing w:after="0"/>
            </w:pPr>
            <w:r>
              <w:rPr>
                <w:sz w:val="15"/>
              </w:rPr>
              <w:t>GeometryFamily</w:t>
            </w:r>
          </w:p>
        </w:tc>
        <w:tc>
          <w:tcPr>
            <w:tcW w:type="dxa" w:w="2074"/>
            <w:vAlign w:val="top"/>
          </w:tcPr>
          <w:p>
            <w:pPr>
              <w:spacing w:after="0"/>
            </w:pPr>
            <w:r>
              <w:rPr>
                <w:sz w:val="15"/>
              </w:rPr>
              <w:t>Platform server + package Room</w:t>
            </w:r>
          </w:p>
        </w:tc>
        <w:tc>
          <w:tcPr>
            <w:tcW w:type="dxa" w:w="2074"/>
            <w:vAlign w:val="top"/>
          </w:tcPr>
          <w:p>
            <w:pPr>
              <w:spacing w:after="0"/>
            </w:pPr>
            <w:r>
              <w:rPr>
                <w:sz w:val="15"/>
              </w:rPr>
              <w:t>geometry_family_id UUID PK; family_code UQ; name; schema/formula compatibility metadata</w:t>
            </w:r>
          </w:p>
        </w:tc>
        <w:tc>
          <w:tcPr>
            <w:tcW w:type="dxa" w:w="2074"/>
            <w:vAlign w:val="top"/>
          </w:tcPr>
          <w:p>
            <w:pPr>
              <w:spacing w:after="0"/>
            </w:pPr>
            <w:r>
              <w:rPr>
                <w:sz w:val="15"/>
              </w:rPr>
              <w:t>Global governed F01–F10.</w:t>
            </w:r>
          </w:p>
        </w:tc>
      </w:tr>
      <w:tr>
        <w:tc>
          <w:tcPr>
            <w:tcW w:type="dxa" w:w="2074"/>
            <w:vAlign w:val="top"/>
          </w:tcPr>
          <w:p>
            <w:pPr>
              <w:spacing w:after="0"/>
            </w:pPr>
            <w:r>
              <w:rPr>
                <w:sz w:val="15"/>
              </w:rPr>
              <w:t>geometry_profiles</w:t>
            </w:r>
          </w:p>
        </w:tc>
        <w:tc>
          <w:tcPr>
            <w:tcW w:type="dxa" w:w="2074"/>
            <w:vAlign w:val="top"/>
          </w:tcPr>
          <w:p>
            <w:pPr>
              <w:spacing w:after="0"/>
            </w:pPr>
            <w:r>
              <w:rPr>
                <w:sz w:val="15"/>
              </w:rPr>
              <w:t>GeometryProfile</w:t>
            </w:r>
          </w:p>
        </w:tc>
        <w:tc>
          <w:tcPr>
            <w:tcW w:type="dxa" w:w="2074"/>
            <w:vAlign w:val="top"/>
          </w:tcPr>
          <w:p>
            <w:pPr>
              <w:spacing w:after="0"/>
            </w:pPr>
            <w:r>
              <w:rPr>
                <w:sz w:val="15"/>
              </w:rPr>
              <w:t>Server + scoped Room</w:t>
            </w:r>
          </w:p>
        </w:tc>
        <w:tc>
          <w:tcPr>
            <w:tcW w:type="dxa" w:w="2074"/>
            <w:vAlign w:val="top"/>
          </w:tcPr>
          <w:p>
            <w:pPr>
              <w:spacing w:after="0"/>
            </w:pPr>
            <w:r>
              <w:rPr>
                <w:sz w:val="15"/>
              </w:rPr>
              <w:t>geometry_profile_id UUID PK; organization_id FK; code; name; lifecycle_status; current_version_id; metadata</w:t>
            </w:r>
          </w:p>
        </w:tc>
        <w:tc>
          <w:tcPr>
            <w:tcW w:type="dxa" w:w="2074"/>
            <w:vAlign w:val="top"/>
          </w:tcPr>
          <w:p>
            <w:pPr>
              <w:spacing w:after="0"/>
            </w:pPr>
            <w:r>
              <w:rPr>
                <w:sz w:val="15"/>
              </w:rPr>
              <w:t>UQ(org,code).</w:t>
            </w:r>
          </w:p>
        </w:tc>
      </w:tr>
      <w:tr>
        <w:tc>
          <w:tcPr>
            <w:tcW w:type="dxa" w:w="2074"/>
            <w:vAlign w:val="top"/>
          </w:tcPr>
          <w:p>
            <w:pPr>
              <w:spacing w:after="0"/>
            </w:pPr>
            <w:r>
              <w:rPr>
                <w:sz w:val="15"/>
              </w:rPr>
              <w:t>geometry_profile_versions</w:t>
            </w:r>
          </w:p>
        </w:tc>
        <w:tc>
          <w:tcPr>
            <w:tcW w:type="dxa" w:w="2074"/>
            <w:vAlign w:val="top"/>
          </w:tcPr>
          <w:p>
            <w:pPr>
              <w:spacing w:after="0"/>
            </w:pPr>
            <w:r>
              <w:rPr>
                <w:sz w:val="15"/>
              </w:rPr>
              <w:t>GeometryProfileVersion</w:t>
            </w:r>
          </w:p>
        </w:tc>
        <w:tc>
          <w:tcPr>
            <w:tcW w:type="dxa" w:w="2074"/>
            <w:vAlign w:val="top"/>
          </w:tcPr>
          <w:p>
            <w:pPr>
              <w:spacing w:after="0"/>
            </w:pPr>
            <w:r>
              <w:rPr>
                <w:sz w:val="15"/>
              </w:rPr>
              <w:t>Server + package Room</w:t>
            </w:r>
          </w:p>
        </w:tc>
        <w:tc>
          <w:tcPr>
            <w:tcW w:type="dxa" w:w="2074"/>
            <w:vAlign w:val="top"/>
          </w:tcPr>
          <w:p>
            <w:pPr>
              <w:spacing w:after="0"/>
            </w:pPr>
            <w:r>
              <w:rPr>
                <w:sz w:val="15"/>
              </w:rPr>
              <w:t>geometry_profile_version_id UUID PK; geometry_profile_id FK; version_number; geometry_family_id FK; explicit parameters; max_capacity_m3 NUMERIC(20,6); reference datum; provenance/schema/version metadata</w:t>
            </w:r>
          </w:p>
        </w:tc>
        <w:tc>
          <w:tcPr>
            <w:tcW w:type="dxa" w:w="2074"/>
            <w:vAlign w:val="top"/>
          </w:tcPr>
          <w:p>
            <w:pPr>
              <w:spacing w:after="0"/>
            </w:pPr>
            <w:r>
              <w:rPr>
                <w:sz w:val="15"/>
              </w:rPr>
              <w:t>Immutable; UQ(profile,version).</w:t>
            </w:r>
          </w:p>
        </w:tc>
      </w:tr>
      <w:tr>
        <w:tc>
          <w:tcPr>
            <w:tcW w:type="dxa" w:w="2074"/>
            <w:vAlign w:val="top"/>
          </w:tcPr>
          <w:p>
            <w:pPr>
              <w:spacing w:after="0"/>
            </w:pPr>
            <w:r>
              <w:rPr>
                <w:sz w:val="15"/>
              </w:rPr>
              <w:t>commodities</w:t>
            </w:r>
          </w:p>
        </w:tc>
        <w:tc>
          <w:tcPr>
            <w:tcW w:type="dxa" w:w="2074"/>
            <w:vAlign w:val="top"/>
          </w:tcPr>
          <w:p>
            <w:pPr>
              <w:spacing w:after="0"/>
            </w:pPr>
            <w:r>
              <w:rPr>
                <w:sz w:val="15"/>
              </w:rPr>
              <w:t>Commodity</w:t>
            </w:r>
          </w:p>
        </w:tc>
        <w:tc>
          <w:tcPr>
            <w:tcW w:type="dxa" w:w="2074"/>
            <w:vAlign w:val="top"/>
          </w:tcPr>
          <w:p>
            <w:pPr>
              <w:spacing w:after="0"/>
            </w:pPr>
            <w:r>
              <w:rPr>
                <w:sz w:val="15"/>
              </w:rPr>
              <w:t>Platform server + package Room</w:t>
            </w:r>
          </w:p>
        </w:tc>
        <w:tc>
          <w:tcPr>
            <w:tcW w:type="dxa" w:w="2074"/>
            <w:vAlign w:val="top"/>
          </w:tcPr>
          <w:p>
            <w:pPr>
              <w:spacing w:after="0"/>
            </w:pPr>
            <w:r>
              <w:rPr>
                <w:sz w:val="15"/>
              </w:rPr>
              <w:t>commodity_id UUID PK; code/name/governance fields; current_version_id</w:t>
            </w:r>
          </w:p>
        </w:tc>
        <w:tc>
          <w:tcPr>
            <w:tcW w:type="dxa" w:w="2074"/>
            <w:vAlign w:val="top"/>
          </w:tcPr>
          <w:p>
            <w:pPr>
              <w:spacing w:after="0"/>
            </w:pPr>
            <w:r>
              <w:rPr>
                <w:sz w:val="15"/>
              </w:rPr>
              <w:t>Global governed identity.</w:t>
            </w:r>
          </w:p>
        </w:tc>
      </w:tr>
      <w:tr>
        <w:tc>
          <w:tcPr>
            <w:tcW w:type="dxa" w:w="2074"/>
            <w:vAlign w:val="top"/>
          </w:tcPr>
          <w:p>
            <w:pPr>
              <w:spacing w:after="0"/>
            </w:pPr>
            <w:r>
              <w:rPr>
                <w:sz w:val="15"/>
              </w:rPr>
              <w:t>commodity_versions</w:t>
            </w:r>
          </w:p>
        </w:tc>
        <w:tc>
          <w:tcPr>
            <w:tcW w:type="dxa" w:w="2074"/>
            <w:vAlign w:val="top"/>
          </w:tcPr>
          <w:p>
            <w:pPr>
              <w:spacing w:after="0"/>
            </w:pPr>
            <w:r>
              <w:rPr>
                <w:sz w:val="15"/>
              </w:rPr>
              <w:t>CommodityVersion</w:t>
            </w:r>
          </w:p>
        </w:tc>
        <w:tc>
          <w:tcPr>
            <w:tcW w:type="dxa" w:w="2074"/>
            <w:vAlign w:val="top"/>
          </w:tcPr>
          <w:p>
            <w:pPr>
              <w:spacing w:after="0"/>
            </w:pPr>
            <w:r>
              <w:rPr>
                <w:sz w:val="15"/>
              </w:rPr>
              <w:t>Platform server + package Room</w:t>
            </w:r>
          </w:p>
        </w:tc>
        <w:tc>
          <w:tcPr>
            <w:tcW w:type="dxa" w:w="2074"/>
            <w:vAlign w:val="top"/>
          </w:tcPr>
          <w:p>
            <w:pPr>
              <w:spacing w:after="0"/>
            </w:pPr>
            <w:r>
              <w:rPr>
                <w:sz w:val="15"/>
              </w:rPr>
              <w:t>commodity_version_id UUID PK; commodity_id FK; version_number; frozen governed/reference fields; created/schema metadata</w:t>
            </w:r>
          </w:p>
        </w:tc>
        <w:tc>
          <w:tcPr>
            <w:tcW w:type="dxa" w:w="2074"/>
            <w:vAlign w:val="top"/>
          </w:tcPr>
          <w:p>
            <w:pPr>
              <w:spacing w:after="0"/>
            </w:pPr>
            <w:r>
              <w:rPr>
                <w:sz w:val="15"/>
              </w:rPr>
              <w:t>Immutable; UQ(commodity,version).</w:t>
            </w:r>
          </w:p>
        </w:tc>
      </w:tr>
      <w:tr>
        <w:tc>
          <w:tcPr>
            <w:tcW w:type="dxa" w:w="2074"/>
            <w:vAlign w:val="top"/>
          </w:tcPr>
          <w:p>
            <w:pPr>
              <w:spacing w:after="0"/>
            </w:pPr>
            <w:r>
              <w:rPr>
                <w:sz w:val="15"/>
              </w:rPr>
              <w:t>inventory_campaigns</w:t>
            </w:r>
          </w:p>
        </w:tc>
        <w:tc>
          <w:tcPr>
            <w:tcW w:type="dxa" w:w="2074"/>
            <w:vAlign w:val="top"/>
          </w:tcPr>
          <w:p>
            <w:pPr>
              <w:spacing w:after="0"/>
            </w:pPr>
            <w:r>
              <w:rPr>
                <w:sz w:val="15"/>
              </w:rPr>
              <w:t>InventoryCampaign</w:t>
            </w:r>
          </w:p>
        </w:tc>
        <w:tc>
          <w:tcPr>
            <w:tcW w:type="dxa" w:w="2074"/>
            <w:vAlign w:val="top"/>
          </w:tcPr>
          <w:p>
            <w:pPr>
              <w:spacing w:after="0"/>
            </w:pPr>
            <w:r>
              <w:rPr>
                <w:sz w:val="15"/>
              </w:rPr>
              <w:t>Server + scoped Room</w:t>
            </w:r>
          </w:p>
        </w:tc>
        <w:tc>
          <w:tcPr>
            <w:tcW w:type="dxa" w:w="2074"/>
            <w:vAlign w:val="top"/>
          </w:tcPr>
          <w:p>
            <w:pPr>
              <w:spacing w:after="0"/>
            </w:pPr>
            <w:r>
              <w:rPr>
                <w:sz w:val="15"/>
              </w:rPr>
              <w:t>campaign_id UUID PK; organization_id FK; code; campaign_year; sequence; name; inventory_type; start_date; planned_end_date; status; metadata</w:t>
            </w:r>
          </w:p>
        </w:tc>
        <w:tc>
          <w:tcPr>
            <w:tcW w:type="dxa" w:w="2074"/>
            <w:vAlign w:val="top"/>
          </w:tcPr>
          <w:p>
            <w:pPr>
              <w:spacing w:after="0"/>
            </w:pPr>
            <w:r>
              <w:rPr>
                <w:sz w:val="15"/>
              </w:rPr>
              <w:t>ACTIVE/COMPLETED only; atomic code allocation.</w:t>
            </w:r>
          </w:p>
        </w:tc>
      </w:tr>
      <w:tr>
        <w:tc>
          <w:tcPr>
            <w:tcW w:type="dxa" w:w="2074"/>
            <w:vAlign w:val="top"/>
          </w:tcPr>
          <w:p>
            <w:pPr>
              <w:spacing w:after="0"/>
            </w:pPr>
            <w:r>
              <w:rPr>
                <w:sz w:val="15"/>
              </w:rPr>
              <w:t>campaign_scopes</w:t>
            </w:r>
          </w:p>
        </w:tc>
        <w:tc>
          <w:tcPr>
            <w:tcW w:type="dxa" w:w="2074"/>
            <w:vAlign w:val="top"/>
          </w:tcPr>
          <w:p>
            <w:pPr>
              <w:spacing w:after="0"/>
            </w:pPr>
            <w:r>
              <w:rPr>
                <w:sz w:val="15"/>
              </w:rPr>
              <w:t>CampaignScope</w:t>
            </w:r>
          </w:p>
        </w:tc>
        <w:tc>
          <w:tcPr>
            <w:tcW w:type="dxa" w:w="2074"/>
            <w:vAlign w:val="top"/>
          </w:tcPr>
          <w:p>
            <w:pPr>
              <w:spacing w:after="0"/>
            </w:pPr>
            <w:r>
              <w:rPr>
                <w:sz w:val="15"/>
              </w:rPr>
              <w:t>Server + scoped Room</w:t>
            </w:r>
          </w:p>
        </w:tc>
        <w:tc>
          <w:tcPr>
            <w:tcW w:type="dxa" w:w="2074"/>
            <w:vAlign w:val="top"/>
          </w:tcPr>
          <w:p>
            <w:pPr>
              <w:spacing w:after="0"/>
            </w:pPr>
            <w:r>
              <w:rPr>
                <w:sz w:val="15"/>
              </w:rPr>
              <w:t>campaign_scope_id UUID PK; campaign_id FK; storage_space_id FK; created metadata; launch-time reproducibility context is held by CampaignSnapshot</w:t>
            </w:r>
          </w:p>
        </w:tc>
        <w:tc>
          <w:tcPr>
            <w:tcW w:type="dxa" w:w="2074"/>
            <w:vAlign w:val="top"/>
          </w:tcPr>
          <w:p>
            <w:pPr>
              <w:spacing w:after="0"/>
            </w:pPr>
            <w:r>
              <w:rPr>
                <w:sz w:val="15"/>
              </w:rPr>
              <w:t>UQ(campaign,space); immutable after launch.</w:t>
            </w:r>
          </w:p>
        </w:tc>
      </w:tr>
      <w:tr>
        <w:tc>
          <w:tcPr>
            <w:tcW w:type="dxa" w:w="2074"/>
            <w:vAlign w:val="top"/>
          </w:tcPr>
          <w:p>
            <w:pPr>
              <w:spacing w:after="0"/>
            </w:pPr>
            <w:r>
              <w:rPr>
                <w:sz w:val="15"/>
              </w:rPr>
              <w:t>campaign_team_assignments</w:t>
            </w:r>
          </w:p>
        </w:tc>
        <w:tc>
          <w:tcPr>
            <w:tcW w:type="dxa" w:w="2074"/>
            <w:vAlign w:val="top"/>
          </w:tcPr>
          <w:p>
            <w:pPr>
              <w:spacing w:after="0"/>
            </w:pPr>
            <w:r>
              <w:rPr>
                <w:sz w:val="15"/>
              </w:rPr>
              <w:t>CampaignTeamAssignment</w:t>
            </w:r>
          </w:p>
        </w:tc>
        <w:tc>
          <w:tcPr>
            <w:tcW w:type="dxa" w:w="2074"/>
            <w:vAlign w:val="top"/>
          </w:tcPr>
          <w:p>
            <w:pPr>
              <w:spacing w:after="0"/>
            </w:pPr>
            <w:r>
              <w:rPr>
                <w:sz w:val="15"/>
              </w:rPr>
              <w:t>Server + scoped Room</w:t>
            </w:r>
          </w:p>
        </w:tc>
        <w:tc>
          <w:tcPr>
            <w:tcW w:type="dxa" w:w="2074"/>
            <w:vAlign w:val="top"/>
          </w:tcPr>
          <w:p>
            <w:pPr>
              <w:spacing w:after="0"/>
            </w:pPr>
            <w:r>
              <w:rPr>
                <w:sz w:val="15"/>
              </w:rPr>
              <w:t>assignment_id UUID PK; campaign_id FK; user_id FK; status; assigned_at/by; removed_at/by; metadata</w:t>
            </w:r>
          </w:p>
        </w:tc>
        <w:tc>
          <w:tcPr>
            <w:tcW w:type="dxa" w:w="2074"/>
            <w:vAlign w:val="top"/>
          </w:tcPr>
          <w:p>
            <w:pPr>
              <w:spacing w:after="0"/>
            </w:pPr>
            <w:r>
              <w:rPr>
                <w:sz w:val="15"/>
              </w:rPr>
              <w:t>Partial UQ ACTIVE(campaign,user); history retained.</w:t>
            </w:r>
          </w:p>
        </w:tc>
      </w:tr>
      <w:tr>
        <w:tc>
          <w:tcPr>
            <w:tcW w:type="dxa" w:w="2074"/>
            <w:vAlign w:val="top"/>
          </w:tcPr>
          <w:p>
            <w:pPr>
              <w:spacing w:after="0"/>
            </w:pPr>
            <w:r>
              <w:rPr>
                <w:sz w:val="15"/>
              </w:rPr>
              <w:t>campaign_snapshots</w:t>
            </w:r>
          </w:p>
        </w:tc>
        <w:tc>
          <w:tcPr>
            <w:tcW w:type="dxa" w:w="2074"/>
            <w:vAlign w:val="top"/>
          </w:tcPr>
          <w:p>
            <w:pPr>
              <w:spacing w:after="0"/>
            </w:pPr>
            <w:r>
              <w:rPr>
                <w:sz w:val="15"/>
              </w:rPr>
              <w:t>CampaignSnapshot</w:t>
            </w:r>
          </w:p>
        </w:tc>
        <w:tc>
          <w:tcPr>
            <w:tcW w:type="dxa" w:w="2074"/>
            <w:vAlign w:val="top"/>
          </w:tcPr>
          <w:p>
            <w:pPr>
              <w:spacing w:after="0"/>
            </w:pPr>
            <w:r>
              <w:rPr>
                <w:sz w:val="15"/>
              </w:rPr>
              <w:t>Server + package Room</w:t>
            </w:r>
          </w:p>
        </w:tc>
        <w:tc>
          <w:tcPr>
            <w:tcW w:type="dxa" w:w="2074"/>
            <w:vAlign w:val="top"/>
          </w:tcPr>
          <w:p>
            <w:pPr>
              <w:spacing w:after="0"/>
            </w:pPr>
            <w:r>
              <w:rPr>
                <w:sz w:val="15"/>
              </w:rPr>
              <w:t>campaign_snapshot_id UUID PK; campaign_id UQ FK; organization/campaign frozen header; inventory type/dates; schema/calculation compatibility; created metadata</w:t>
            </w:r>
          </w:p>
        </w:tc>
        <w:tc>
          <w:tcPr>
            <w:tcW w:type="dxa" w:w="2074"/>
            <w:vAlign w:val="top"/>
          </w:tcPr>
          <w:p>
            <w:pPr>
              <w:spacing w:after="0"/>
            </w:pPr>
            <w:r>
              <w:rPr>
                <w:sz w:val="15"/>
              </w:rPr>
              <w:t>Immutable launch header.</w:t>
            </w:r>
          </w:p>
        </w:tc>
      </w:tr>
      <w:tr>
        <w:tc>
          <w:tcPr>
            <w:tcW w:type="dxa" w:w="2074"/>
            <w:vAlign w:val="top"/>
          </w:tcPr>
          <w:p>
            <w:pPr>
              <w:spacing w:after="0"/>
            </w:pPr>
            <w:r>
              <w:rPr>
                <w:sz w:val="15"/>
              </w:rPr>
              <w:t>campaign_snapshot_scope_items</w:t>
            </w:r>
          </w:p>
        </w:tc>
        <w:tc>
          <w:tcPr>
            <w:tcW w:type="dxa" w:w="2074"/>
            <w:vAlign w:val="top"/>
          </w:tcPr>
          <w:p>
            <w:pPr>
              <w:spacing w:after="0"/>
            </w:pPr>
            <w:r>
              <w:rPr>
                <w:sz w:val="15"/>
              </w:rPr>
              <w:t>CampaignSnapshot child</w:t>
            </w:r>
          </w:p>
        </w:tc>
        <w:tc>
          <w:tcPr>
            <w:tcW w:type="dxa" w:w="2074"/>
            <w:vAlign w:val="top"/>
          </w:tcPr>
          <w:p>
            <w:pPr>
              <w:spacing w:after="0"/>
            </w:pPr>
            <w:r>
              <w:rPr>
                <w:sz w:val="15"/>
              </w:rPr>
              <w:t>Server + package Room</w:t>
            </w:r>
          </w:p>
        </w:tc>
        <w:tc>
          <w:tcPr>
            <w:tcW w:type="dxa" w:w="2074"/>
            <w:vAlign w:val="top"/>
          </w:tcPr>
          <w:p>
            <w:pPr>
              <w:spacing w:after="0"/>
            </w:pPr>
            <w:r>
              <w:rPr>
                <w:sz w:val="15"/>
              </w:rPr>
              <w:t>snapshot_scope_item_id UUID PK; campaign_snapshot_id FK; frozen space/hierarchy/profile/version values</w:t>
            </w:r>
          </w:p>
        </w:tc>
        <w:tc>
          <w:tcPr>
            <w:tcW w:type="dxa" w:w="2074"/>
            <w:vAlign w:val="top"/>
          </w:tcPr>
          <w:p>
            <w:pPr>
              <w:spacing w:after="0"/>
            </w:pPr>
            <w:r>
              <w:rPr>
                <w:sz w:val="15"/>
              </w:rPr>
              <w:t>Explicit frozen collection.</w:t>
            </w:r>
          </w:p>
        </w:tc>
      </w:tr>
      <w:tr>
        <w:tc>
          <w:tcPr>
            <w:tcW w:type="dxa" w:w="2074"/>
            <w:vAlign w:val="top"/>
          </w:tcPr>
          <w:p>
            <w:pPr>
              <w:spacing w:after="0"/>
            </w:pPr>
            <w:r>
              <w:rPr>
                <w:sz w:val="15"/>
              </w:rPr>
              <w:t>campaign_snapshot_team_items</w:t>
            </w:r>
          </w:p>
        </w:tc>
        <w:tc>
          <w:tcPr>
            <w:tcW w:type="dxa" w:w="2074"/>
            <w:vAlign w:val="top"/>
          </w:tcPr>
          <w:p>
            <w:pPr>
              <w:spacing w:after="0"/>
            </w:pPr>
            <w:r>
              <w:rPr>
                <w:sz w:val="15"/>
              </w:rPr>
              <w:t>CampaignSnapshot child</w:t>
            </w:r>
          </w:p>
        </w:tc>
        <w:tc>
          <w:tcPr>
            <w:tcW w:type="dxa" w:w="2074"/>
            <w:vAlign w:val="top"/>
          </w:tcPr>
          <w:p>
            <w:pPr>
              <w:spacing w:after="0"/>
            </w:pPr>
            <w:r>
              <w:rPr>
                <w:sz w:val="15"/>
              </w:rPr>
              <w:t>Server + package Room</w:t>
            </w:r>
          </w:p>
        </w:tc>
        <w:tc>
          <w:tcPr>
            <w:tcW w:type="dxa" w:w="2074"/>
            <w:vAlign w:val="top"/>
          </w:tcPr>
          <w:p>
            <w:pPr>
              <w:spacing w:after="0"/>
            </w:pPr>
            <w:r>
              <w:rPr>
                <w:sz w:val="15"/>
              </w:rPr>
              <w:t>snapshot_team_item_id UUID PK; campaign_snapshot_id FK; user_id + frozen display/role/team values</w:t>
            </w:r>
          </w:p>
        </w:tc>
        <w:tc>
          <w:tcPr>
            <w:tcW w:type="dxa" w:w="2074"/>
            <w:vAlign w:val="top"/>
          </w:tcPr>
          <w:p>
            <w:pPr>
              <w:spacing w:after="0"/>
            </w:pPr>
            <w:r>
              <w:rPr>
                <w:sz w:val="15"/>
              </w:rPr>
              <w:t>Launch team; later assignment changes do not rewrite.</w:t>
            </w:r>
          </w:p>
        </w:tc>
      </w:tr>
      <w:tr>
        <w:tc>
          <w:tcPr>
            <w:tcW w:type="dxa" w:w="2074"/>
            <w:vAlign w:val="top"/>
          </w:tcPr>
          <w:p>
            <w:pPr>
              <w:spacing w:after="0"/>
            </w:pPr>
            <w:r>
              <w:rPr>
                <w:sz w:val="15"/>
              </w:rPr>
              <w:t>offline_working_set_manifests</w:t>
            </w:r>
          </w:p>
        </w:tc>
        <w:tc>
          <w:tcPr>
            <w:tcW w:type="dxa" w:w="2074"/>
            <w:vAlign w:val="top"/>
          </w:tcPr>
          <w:p>
            <w:pPr>
              <w:spacing w:after="0"/>
            </w:pPr>
            <w:r>
              <w:rPr>
                <w:sz w:val="15"/>
              </w:rPr>
              <w:t>OfflineWorkingSetManifest</w:t>
            </w:r>
          </w:p>
        </w:tc>
        <w:tc>
          <w:tcPr>
            <w:tcW w:type="dxa" w:w="2074"/>
            <w:vAlign w:val="top"/>
          </w:tcPr>
          <w:p>
            <w:pPr>
              <w:spacing w:after="0"/>
            </w:pPr>
            <w:r>
              <w:rPr>
                <w:sz w:val="15"/>
              </w:rPr>
              <w:t>Server + device Room</w:t>
            </w:r>
          </w:p>
        </w:tc>
        <w:tc>
          <w:tcPr>
            <w:tcW w:type="dxa" w:w="2074"/>
            <w:vAlign w:val="top"/>
          </w:tcPr>
          <w:p>
            <w:pPr>
              <w:spacing w:after="0"/>
            </w:pPr>
            <w:r>
              <w:rPr>
                <w:sz w:val="15"/>
              </w:rPr>
              <w:t>manifest_id UUID PK; campaign_id; organization_id; device_installation_id; package_version; content_manifest; integrity metadata; generated/downloaded/verified times; is_current</w:t>
            </w:r>
          </w:p>
        </w:tc>
        <w:tc>
          <w:tcPr>
            <w:tcW w:type="dxa" w:w="2074"/>
            <w:vAlign w:val="top"/>
          </w:tcPr>
          <w:p>
            <w:pPr>
              <w:spacing w:after="0"/>
            </w:pPr>
            <w:r>
              <w:rPr>
                <w:sz w:val="15"/>
              </w:rPr>
              <w:t>UQ campaign/device/version; one current.</w:t>
            </w:r>
          </w:p>
        </w:tc>
      </w:tr>
      <w:tr>
        <w:tc>
          <w:tcPr>
            <w:tcW w:type="dxa" w:w="2074"/>
            <w:vAlign w:val="top"/>
          </w:tcPr>
          <w:p>
            <w:pPr>
              <w:spacing w:after="0"/>
            </w:pPr>
            <w:r>
              <w:rPr>
                <w:sz w:val="15"/>
              </w:rPr>
              <w:t>stocktaking_records</w:t>
            </w:r>
          </w:p>
        </w:tc>
        <w:tc>
          <w:tcPr>
            <w:tcW w:type="dxa" w:w="2074"/>
            <w:vAlign w:val="top"/>
          </w:tcPr>
          <w:p>
            <w:pPr>
              <w:spacing w:after="0"/>
            </w:pPr>
            <w:r>
              <w:rPr>
                <w:sz w:val="15"/>
              </w:rPr>
              <w:t>StocktakingRecord</w:t>
            </w:r>
          </w:p>
        </w:tc>
        <w:tc>
          <w:tcPr>
            <w:tcW w:type="dxa" w:w="2074"/>
            <w:vAlign w:val="top"/>
          </w:tcPr>
          <w:p>
            <w:pPr>
              <w:spacing w:after="0"/>
            </w:pPr>
            <w:r>
              <w:rPr>
                <w:sz w:val="15"/>
              </w:rPr>
              <w:t>Server + Room local-first</w:t>
            </w:r>
          </w:p>
        </w:tc>
        <w:tc>
          <w:tcPr>
            <w:tcW w:type="dxa" w:w="2074"/>
            <w:vAlign w:val="top"/>
          </w:tcPr>
          <w:p>
            <w:pPr>
              <w:spacing w:after="0"/>
            </w:pPr>
            <w:r>
              <w:rPr>
                <w:sz w:val="15"/>
              </w:rPr>
              <w:t>stocktaking_record_id UUID PK; organization_id; campaign_id; storage_space_id; current_revision_id; mutation metadata</w:t>
            </w:r>
          </w:p>
        </w:tc>
        <w:tc>
          <w:tcPr>
            <w:tcW w:type="dxa" w:w="2074"/>
            <w:vAlign w:val="top"/>
          </w:tcPr>
          <w:p>
            <w:pPr>
              <w:spacing w:after="0"/>
            </w:pPr>
            <w:r>
              <w:rPr>
                <w:sz w:val="15"/>
              </w:rPr>
              <w:t>UQ(campaign,space); classification derived.</w:t>
            </w:r>
          </w:p>
        </w:tc>
      </w:tr>
      <w:tr>
        <w:tc>
          <w:tcPr>
            <w:tcW w:type="dxa" w:w="2074"/>
            <w:vAlign w:val="top"/>
          </w:tcPr>
          <w:p>
            <w:pPr>
              <w:spacing w:after="0"/>
            </w:pPr>
            <w:r>
              <w:rPr>
                <w:sz w:val="15"/>
              </w:rPr>
              <w:t>stocktaking_revisions</w:t>
            </w:r>
          </w:p>
        </w:tc>
        <w:tc>
          <w:tcPr>
            <w:tcW w:type="dxa" w:w="2074"/>
            <w:vAlign w:val="top"/>
          </w:tcPr>
          <w:p>
            <w:pPr>
              <w:spacing w:after="0"/>
            </w:pPr>
            <w:r>
              <w:rPr>
                <w:sz w:val="15"/>
              </w:rPr>
              <w:t>StocktakingRevision</w:t>
            </w:r>
          </w:p>
        </w:tc>
        <w:tc>
          <w:tcPr>
            <w:tcW w:type="dxa" w:w="2074"/>
            <w:vAlign w:val="top"/>
          </w:tcPr>
          <w:p>
            <w:pPr>
              <w:spacing w:after="0"/>
            </w:pPr>
            <w:r>
              <w:rPr>
                <w:sz w:val="15"/>
              </w:rPr>
              <w:t>Server + Room local-first</w:t>
            </w:r>
          </w:p>
        </w:tc>
        <w:tc>
          <w:tcPr>
            <w:tcW w:type="dxa" w:w="2074"/>
            <w:vAlign w:val="top"/>
          </w:tcPr>
          <w:p>
            <w:pPr>
              <w:spacing w:after="0"/>
            </w:pPr>
            <w:r>
              <w:rPr>
                <w:sz w:val="15"/>
              </w:rPr>
              <w:t>stocktaking_revision_id UUID PK; stocktaking_record_id; revision_number; state; based_on_revision_id; is_empty; commodity_version_id; density; ownership; client_id; notes; calculation_result_id; validation/creation/version metadata</w:t>
            </w:r>
          </w:p>
        </w:tc>
        <w:tc>
          <w:tcPr>
            <w:tcW w:type="dxa" w:w="2074"/>
            <w:vAlign w:val="top"/>
          </w:tcPr>
          <w:p>
            <w:pPr>
              <w:spacing w:after="0"/>
            </w:pPr>
            <w:r>
              <w:rPr>
                <w:sz w:val="15"/>
              </w:rPr>
              <w:t>Validated immutable; UQ(root,revision_no).</w:t>
            </w:r>
          </w:p>
        </w:tc>
      </w:tr>
      <w:tr>
        <w:tc>
          <w:tcPr>
            <w:tcW w:type="dxa" w:w="2074"/>
            <w:vAlign w:val="top"/>
          </w:tcPr>
          <w:p>
            <w:pPr>
              <w:spacing w:after="0"/>
            </w:pPr>
            <w:r>
              <w:rPr>
                <w:sz w:val="15"/>
              </w:rPr>
              <w:t>measurements</w:t>
            </w:r>
          </w:p>
        </w:tc>
        <w:tc>
          <w:tcPr>
            <w:tcW w:type="dxa" w:w="2074"/>
            <w:vAlign w:val="top"/>
          </w:tcPr>
          <w:p>
            <w:pPr>
              <w:spacing w:after="0"/>
            </w:pPr>
            <w:r>
              <w:rPr>
                <w:sz w:val="15"/>
              </w:rPr>
              <w:t>Measurement</w:t>
            </w:r>
          </w:p>
        </w:tc>
        <w:tc>
          <w:tcPr>
            <w:tcW w:type="dxa" w:w="2074"/>
            <w:vAlign w:val="top"/>
          </w:tcPr>
          <w:p>
            <w:pPr>
              <w:spacing w:after="0"/>
            </w:pPr>
            <w:r>
              <w:rPr>
                <w:sz w:val="15"/>
              </w:rPr>
              <w:t>Server + Room local-first</w:t>
            </w:r>
          </w:p>
        </w:tc>
        <w:tc>
          <w:tcPr>
            <w:tcW w:type="dxa" w:w="2074"/>
            <w:vAlign w:val="top"/>
          </w:tcPr>
          <w:p>
            <w:pPr>
              <w:spacing w:after="0"/>
            </w:pPr>
            <w:r>
              <w:rPr>
                <w:sz w:val="15"/>
              </w:rPr>
              <w:t>measurement_id UUID PK; stocktaking_revision_id; sequence_number; raw_value; raw_unit; normalized_ullage_m; datum metadata; geometry_profile_version_id; capture/version metadata</w:t>
            </w:r>
          </w:p>
        </w:tc>
        <w:tc>
          <w:tcPr>
            <w:tcW w:type="dxa" w:w="2074"/>
            <w:vAlign w:val="top"/>
          </w:tcPr>
          <w:p>
            <w:pPr>
              <w:spacing w:after="0"/>
            </w:pPr>
            <w:r>
              <w:rPr>
                <w:sz w:val="15"/>
              </w:rPr>
              <w:t>UQ(revision,sequence); sequence 1..5.</w:t>
            </w:r>
          </w:p>
        </w:tc>
      </w:tr>
      <w:tr>
        <w:tc>
          <w:tcPr>
            <w:tcW w:type="dxa" w:w="2074"/>
            <w:vAlign w:val="top"/>
          </w:tcPr>
          <w:p>
            <w:pPr>
              <w:spacing w:after="0"/>
            </w:pPr>
            <w:r>
              <w:rPr>
                <w:sz w:val="15"/>
              </w:rPr>
              <w:t>calculation_results</w:t>
            </w:r>
          </w:p>
        </w:tc>
        <w:tc>
          <w:tcPr>
            <w:tcW w:type="dxa" w:w="2074"/>
            <w:vAlign w:val="top"/>
          </w:tcPr>
          <w:p>
            <w:pPr>
              <w:spacing w:after="0"/>
            </w:pPr>
            <w:r>
              <w:rPr>
                <w:sz w:val="15"/>
              </w:rPr>
              <w:t>CalculationResult</w:t>
            </w:r>
          </w:p>
        </w:tc>
        <w:tc>
          <w:tcPr>
            <w:tcW w:type="dxa" w:w="2074"/>
            <w:vAlign w:val="top"/>
          </w:tcPr>
          <w:p>
            <w:pPr>
              <w:spacing w:after="0"/>
            </w:pPr>
            <w:r>
              <w:rPr>
                <w:sz w:val="15"/>
              </w:rPr>
              <w:t>Server + Room local-first</w:t>
            </w:r>
          </w:p>
        </w:tc>
        <w:tc>
          <w:tcPr>
            <w:tcW w:type="dxa" w:w="2074"/>
            <w:vAlign w:val="top"/>
          </w:tcPr>
          <w:p>
            <w:pPr>
              <w:spacing w:after="0"/>
            </w:pPr>
            <w:r>
              <w:rPr>
                <w:sz w:val="15"/>
              </w:rPr>
              <w:t>calculation_result_id UUID PK; revision_id; surface/aggregation versions; effective ullage/fill; volume; density; quantity; geometry refs; engine/formula versions; input_fingerprint; rounding policy; calculated metadata</w:t>
            </w:r>
          </w:p>
        </w:tc>
        <w:tc>
          <w:tcPr>
            <w:tcW w:type="dxa" w:w="2074"/>
            <w:vAlign w:val="top"/>
          </w:tcPr>
          <w:p>
            <w:pPr>
              <w:spacing w:after="0"/>
            </w:pPr>
            <w:r>
              <w:rPr>
                <w:sz w:val="15"/>
              </w:rPr>
              <w:t>Validated result immutable.</w:t>
            </w:r>
          </w:p>
        </w:tc>
      </w:tr>
      <w:tr>
        <w:tc>
          <w:tcPr>
            <w:tcW w:type="dxa" w:w="2074"/>
            <w:vAlign w:val="top"/>
          </w:tcPr>
          <w:p>
            <w:pPr>
              <w:spacing w:after="0"/>
            </w:pPr>
            <w:r>
              <w:rPr>
                <w:sz w:val="15"/>
              </w:rPr>
              <w:t>issues</w:t>
            </w:r>
          </w:p>
        </w:tc>
        <w:tc>
          <w:tcPr>
            <w:tcW w:type="dxa" w:w="2074"/>
            <w:vAlign w:val="top"/>
          </w:tcPr>
          <w:p>
            <w:pPr>
              <w:spacing w:after="0"/>
            </w:pPr>
            <w:r>
              <w:rPr>
                <w:sz w:val="15"/>
              </w:rPr>
              <w:t>Issue</w:t>
            </w:r>
          </w:p>
        </w:tc>
        <w:tc>
          <w:tcPr>
            <w:tcW w:type="dxa" w:w="2074"/>
            <w:vAlign w:val="top"/>
          </w:tcPr>
          <w:p>
            <w:pPr>
              <w:spacing w:after="0"/>
            </w:pPr>
            <w:r>
              <w:rPr>
                <w:sz w:val="15"/>
              </w:rPr>
              <w:t>Server + Room local-first</w:t>
            </w:r>
          </w:p>
        </w:tc>
        <w:tc>
          <w:tcPr>
            <w:tcW w:type="dxa" w:w="2074"/>
            <w:vAlign w:val="top"/>
          </w:tcPr>
          <w:p>
            <w:pPr>
              <w:spacing w:after="0"/>
            </w:pPr>
            <w:r>
              <w:rPr>
                <w:sz w:val="15"/>
              </w:rPr>
              <w:t>issue_id UUID PK; organization_id; campaign_id; stocktaking_record_id; category; description; status; report/latest-resolution/version metadata</w:t>
            </w:r>
          </w:p>
        </w:tc>
        <w:tc>
          <w:tcPr>
            <w:tcW w:type="dxa" w:w="2074"/>
            <w:vAlign w:val="top"/>
          </w:tcPr>
          <w:p>
            <w:pPr>
              <w:spacing w:after="0"/>
            </w:pPr>
            <w:r>
              <w:rPr>
                <w:sz w:val="15"/>
              </w:rPr>
              <w:t>OPEN/RESOLVED current projection.</w:t>
            </w:r>
          </w:p>
        </w:tc>
      </w:tr>
      <w:tr>
        <w:tc>
          <w:tcPr>
            <w:tcW w:type="dxa" w:w="2074"/>
            <w:vAlign w:val="top"/>
          </w:tcPr>
          <w:p>
            <w:pPr>
              <w:spacing w:after="0"/>
            </w:pPr>
            <w:r>
              <w:rPr>
                <w:sz w:val="15"/>
              </w:rPr>
              <w:t>issue_resolutions</w:t>
            </w:r>
          </w:p>
        </w:tc>
        <w:tc>
          <w:tcPr>
            <w:tcW w:type="dxa" w:w="2074"/>
            <w:vAlign w:val="top"/>
          </w:tcPr>
          <w:p>
            <w:pPr>
              <w:spacing w:after="0"/>
            </w:pPr>
            <w:r>
              <w:rPr>
                <w:sz w:val="15"/>
              </w:rPr>
              <w:t>IssueResolution</w:t>
            </w:r>
          </w:p>
        </w:tc>
        <w:tc>
          <w:tcPr>
            <w:tcW w:type="dxa" w:w="2074"/>
            <w:vAlign w:val="top"/>
          </w:tcPr>
          <w:p>
            <w:pPr>
              <w:spacing w:after="0"/>
            </w:pPr>
            <w:r>
              <w:rPr>
                <w:sz w:val="15"/>
              </w:rPr>
              <w:t>Server + Room</w:t>
            </w:r>
          </w:p>
        </w:tc>
        <w:tc>
          <w:tcPr>
            <w:tcW w:type="dxa" w:w="2074"/>
            <w:vAlign w:val="top"/>
          </w:tcPr>
          <w:p>
            <w:pPr>
              <w:spacing w:after="0"/>
            </w:pPr>
            <w:r>
              <w:rPr>
                <w:sz w:val="15"/>
              </w:rPr>
              <w:t>issue_resolution_id UUID PK; issue_id; reason; context; resolved_at/by; audit_event_id</w:t>
            </w:r>
          </w:p>
        </w:tc>
        <w:tc>
          <w:tcPr>
            <w:tcW w:type="dxa" w:w="2074"/>
            <w:vAlign w:val="top"/>
          </w:tcPr>
          <w:p>
            <w:pPr>
              <w:spacing w:after="0"/>
            </w:pPr>
            <w:r>
              <w:rPr>
                <w:sz w:val="15"/>
              </w:rPr>
              <w:t>Append-only.</w:t>
            </w:r>
          </w:p>
        </w:tc>
      </w:tr>
      <w:tr>
        <w:tc>
          <w:tcPr>
            <w:tcW w:type="dxa" w:w="2074"/>
            <w:vAlign w:val="top"/>
          </w:tcPr>
          <w:p>
            <w:pPr>
              <w:spacing w:after="0"/>
            </w:pPr>
            <w:r>
              <w:rPr>
                <w:sz w:val="15"/>
              </w:rPr>
              <w:t>issue_status_events</w:t>
            </w:r>
          </w:p>
        </w:tc>
        <w:tc>
          <w:tcPr>
            <w:tcW w:type="dxa" w:w="2074"/>
            <w:vAlign w:val="top"/>
          </w:tcPr>
          <w:p>
            <w:pPr>
              <w:spacing w:after="0"/>
            </w:pPr>
            <w:r>
              <w:rPr>
                <w:sz w:val="15"/>
              </w:rPr>
              <w:t>IssueStatusEvent</w:t>
            </w:r>
          </w:p>
        </w:tc>
        <w:tc>
          <w:tcPr>
            <w:tcW w:type="dxa" w:w="2074"/>
            <w:vAlign w:val="top"/>
          </w:tcPr>
          <w:p>
            <w:pPr>
              <w:spacing w:after="0"/>
            </w:pPr>
            <w:r>
              <w:rPr>
                <w:sz w:val="15"/>
              </w:rPr>
              <w:t>Server + Room</w:t>
            </w:r>
          </w:p>
        </w:tc>
        <w:tc>
          <w:tcPr>
            <w:tcW w:type="dxa" w:w="2074"/>
            <w:vAlign w:val="top"/>
          </w:tcPr>
          <w:p>
            <w:pPr>
              <w:spacing w:after="0"/>
            </w:pPr>
            <w:r>
              <w:rPr>
                <w:sz w:val="15"/>
              </w:rPr>
              <w:t>issue_status_event_id UUID PK; issue_id; from_status; to_status; reason; changed_at/by; audit_event_id</w:t>
            </w:r>
          </w:p>
        </w:tc>
        <w:tc>
          <w:tcPr>
            <w:tcW w:type="dxa" w:w="2074"/>
            <w:vAlign w:val="top"/>
          </w:tcPr>
          <w:p>
            <w:pPr>
              <w:spacing w:after="0"/>
            </w:pPr>
            <w:r>
              <w:rPr>
                <w:sz w:val="15"/>
              </w:rPr>
              <w:t>Append-only; initial from_status nullable.</w:t>
            </w:r>
          </w:p>
        </w:tc>
      </w:tr>
      <w:tr>
        <w:tc>
          <w:tcPr>
            <w:tcW w:type="dxa" w:w="2074"/>
            <w:vAlign w:val="top"/>
          </w:tcPr>
          <w:p>
            <w:pPr>
              <w:spacing w:after="0"/>
            </w:pPr>
            <w:r>
              <w:rPr>
                <w:sz w:val="15"/>
              </w:rPr>
              <w:t>evidence</w:t>
            </w:r>
          </w:p>
        </w:tc>
        <w:tc>
          <w:tcPr>
            <w:tcW w:type="dxa" w:w="2074"/>
            <w:vAlign w:val="top"/>
          </w:tcPr>
          <w:p>
            <w:pPr>
              <w:spacing w:after="0"/>
            </w:pPr>
            <w:r>
              <w:rPr>
                <w:sz w:val="15"/>
              </w:rPr>
              <w:t>Evidence</w:t>
            </w:r>
          </w:p>
        </w:tc>
        <w:tc>
          <w:tcPr>
            <w:tcW w:type="dxa" w:w="2074"/>
            <w:vAlign w:val="top"/>
          </w:tcPr>
          <w:p>
            <w:pPr>
              <w:spacing w:after="0"/>
            </w:pPr>
            <w:r>
              <w:rPr>
                <w:sz w:val="15"/>
              </w:rPr>
              <w:t>Server + Room metadata; binary external</w:t>
            </w:r>
          </w:p>
        </w:tc>
        <w:tc>
          <w:tcPr>
            <w:tcW w:type="dxa" w:w="2074"/>
            <w:vAlign w:val="top"/>
          </w:tcPr>
          <w:p>
            <w:pPr>
              <w:spacing w:after="0"/>
            </w:pPr>
            <w:r>
              <w:rPr>
                <w:sz w:val="15"/>
              </w:rPr>
              <w:t>evidence_id UUID PK; organization_id; campaign_id; owner refs XOR; stocktaking_revision_id; type; note_text or photo metadata; hash; local/object refs; sync state; capture/creation metadata</w:t>
            </w:r>
          </w:p>
        </w:tc>
        <w:tc>
          <w:tcPr>
            <w:tcW w:type="dxa" w:w="2074"/>
            <w:vAlign w:val="top"/>
          </w:tcPr>
          <w:p>
            <w:pPr>
              <w:spacing w:after="0"/>
            </w:pPr>
            <w:r>
              <w:rPr>
                <w:sz w:val="15"/>
              </w:rPr>
              <w:t>No BLOB; validated evidence immutable.</w:t>
            </w:r>
          </w:p>
        </w:tc>
      </w:tr>
      <w:tr>
        <w:tc>
          <w:tcPr>
            <w:tcW w:type="dxa" w:w="2074"/>
            <w:vAlign w:val="top"/>
          </w:tcPr>
          <w:p>
            <w:pPr>
              <w:spacing w:after="0"/>
            </w:pPr>
            <w:r>
              <w:rPr>
                <w:sz w:val="15"/>
              </w:rPr>
              <w:t>final_inventory_snapshots</w:t>
            </w:r>
          </w:p>
        </w:tc>
        <w:tc>
          <w:tcPr>
            <w:tcW w:type="dxa" w:w="2074"/>
            <w:vAlign w:val="top"/>
          </w:tcPr>
          <w:p>
            <w:pPr>
              <w:spacing w:after="0"/>
            </w:pPr>
            <w:r>
              <w:rPr>
                <w:sz w:val="15"/>
              </w:rPr>
              <w:t>FinalInventorySnapshot</w:t>
            </w:r>
          </w:p>
        </w:tc>
        <w:tc>
          <w:tcPr>
            <w:tcW w:type="dxa" w:w="2074"/>
            <w:vAlign w:val="top"/>
          </w:tcPr>
          <w:p>
            <w:pPr>
              <w:spacing w:after="0"/>
            </w:pPr>
            <w:r>
              <w:rPr>
                <w:sz w:val="15"/>
              </w:rPr>
              <w:t>Server; completed package/history Room as needed</w:t>
            </w:r>
          </w:p>
        </w:tc>
        <w:tc>
          <w:tcPr>
            <w:tcW w:type="dxa" w:w="2074"/>
            <w:vAlign w:val="top"/>
          </w:tcPr>
          <w:p>
            <w:pPr>
              <w:spacing w:after="0"/>
            </w:pPr>
            <w:r>
              <w:rPr>
                <w:sz w:val="15"/>
              </w:rPr>
              <w:t>final_snapshot_id UUID PK; campaign_id UQ; organization_id; close actor/time; frozen campaign/schema/calculation context</w:t>
            </w:r>
          </w:p>
        </w:tc>
        <w:tc>
          <w:tcPr>
            <w:tcW w:type="dxa" w:w="2074"/>
            <w:vAlign w:val="top"/>
          </w:tcPr>
          <w:p>
            <w:pPr>
              <w:spacing w:after="0"/>
            </w:pPr>
            <w:r>
              <w:rPr>
                <w:sz w:val="15"/>
              </w:rPr>
              <w:t>Immutable; created atomically with COMPLETED.</w:t>
            </w:r>
          </w:p>
        </w:tc>
      </w:tr>
      <w:tr>
        <w:tc>
          <w:tcPr>
            <w:tcW w:type="dxa" w:w="2074"/>
            <w:vAlign w:val="top"/>
          </w:tcPr>
          <w:p>
            <w:pPr>
              <w:spacing w:after="0"/>
            </w:pPr>
            <w:r>
              <w:rPr>
                <w:sz w:val="15"/>
              </w:rPr>
              <w:t>final_inventory_snapshot_entries</w:t>
            </w:r>
          </w:p>
        </w:tc>
        <w:tc>
          <w:tcPr>
            <w:tcW w:type="dxa" w:w="2074"/>
            <w:vAlign w:val="top"/>
          </w:tcPr>
          <w:p>
            <w:pPr>
              <w:spacing w:after="0"/>
            </w:pPr>
            <w:r>
              <w:rPr>
                <w:sz w:val="15"/>
              </w:rPr>
              <w:t>FinalInventorySnapshotEntry</w:t>
            </w:r>
          </w:p>
        </w:tc>
        <w:tc>
          <w:tcPr>
            <w:tcW w:type="dxa" w:w="2074"/>
            <w:vAlign w:val="top"/>
          </w:tcPr>
          <w:p>
            <w:pPr>
              <w:spacing w:after="0"/>
            </w:pPr>
            <w:r>
              <w:rPr>
                <w:sz w:val="15"/>
              </w:rPr>
              <w:t>Server; history Room as needed</w:t>
            </w:r>
          </w:p>
        </w:tc>
        <w:tc>
          <w:tcPr>
            <w:tcW w:type="dxa" w:w="2074"/>
            <w:vAlign w:val="top"/>
          </w:tcPr>
          <w:p>
            <w:pPr>
              <w:spacing w:after="0"/>
            </w:pPr>
            <w:r>
              <w:rPr>
                <w:sz w:val="15"/>
              </w:rPr>
              <w:t>entry_id UUID PK; final_snapshot_id; storage_space_id; frozen hierarchy/profile/commodity/client/user/measurement/calculation/issue/evidence metadata</w:t>
            </w:r>
          </w:p>
        </w:tc>
        <w:tc>
          <w:tcPr>
            <w:tcW w:type="dxa" w:w="2074"/>
            <w:vAlign w:val="top"/>
          </w:tcPr>
          <w:p>
            <w:pPr>
              <w:spacing w:after="0"/>
            </w:pPr>
            <w:r>
              <w:rPr>
                <w:sz w:val="15"/>
              </w:rPr>
              <w:t>UQ(snapshot,space); complete historical reproducibility.</w:t>
            </w:r>
          </w:p>
        </w:tc>
      </w:tr>
      <w:tr>
        <w:tc>
          <w:tcPr>
            <w:tcW w:type="dxa" w:w="2074"/>
            <w:vAlign w:val="top"/>
          </w:tcPr>
          <w:p>
            <w:pPr>
              <w:spacing w:after="0"/>
            </w:pPr>
            <w:r>
              <w:rPr>
                <w:sz w:val="15"/>
              </w:rPr>
              <w:t>sync_operations</w:t>
            </w:r>
          </w:p>
        </w:tc>
        <w:tc>
          <w:tcPr>
            <w:tcW w:type="dxa" w:w="2074"/>
            <w:vAlign w:val="top"/>
          </w:tcPr>
          <w:p>
            <w:pPr>
              <w:spacing w:after="0"/>
            </w:pPr>
            <w:r>
              <w:rPr>
                <w:sz w:val="15"/>
              </w:rPr>
              <w:t>SyncOperation</w:t>
            </w:r>
          </w:p>
        </w:tc>
        <w:tc>
          <w:tcPr>
            <w:tcW w:type="dxa" w:w="2074"/>
            <w:vAlign w:val="top"/>
          </w:tcPr>
          <w:p>
            <w:pPr>
              <w:spacing w:after="0"/>
            </w:pPr>
            <w:r>
              <w:rPr>
                <w:sz w:val="15"/>
              </w:rPr>
              <w:t>Room primary outbox + server idempotency/diagnostics</w:t>
            </w:r>
          </w:p>
        </w:tc>
        <w:tc>
          <w:tcPr>
            <w:tcW w:type="dxa" w:w="2074"/>
            <w:vAlign w:val="top"/>
          </w:tcPr>
          <w:p>
            <w:pPr>
              <w:spacing w:after="0"/>
            </w:pPr>
            <w:r>
              <w:rPr>
                <w:sz w:val="15"/>
              </w:rPr>
              <w:t>sync_operation_id UUID PK; entity_type/id; operation_type; payload; idempotency_key; base/entity version; state; retry/error timestamps</w:t>
            </w:r>
          </w:p>
        </w:tc>
        <w:tc>
          <w:tcPr>
            <w:tcW w:type="dxa" w:w="2074"/>
            <w:vAlign w:val="top"/>
          </w:tcPr>
          <w:p>
            <w:pPr>
              <w:spacing w:after="0"/>
            </w:pPr>
            <w:r>
              <w:rPr>
                <w:sz w:val="15"/>
              </w:rPr>
              <w:t>One logical mutation = one operation.</w:t>
            </w:r>
          </w:p>
        </w:tc>
      </w:tr>
      <w:tr>
        <w:tc>
          <w:tcPr>
            <w:tcW w:type="dxa" w:w="2074"/>
            <w:vAlign w:val="top"/>
          </w:tcPr>
          <w:p>
            <w:pPr>
              <w:spacing w:after="0"/>
            </w:pPr>
            <w:r>
              <w:rPr>
                <w:sz w:val="15"/>
              </w:rPr>
              <w:t>sync_operation_dependencies</w:t>
            </w:r>
          </w:p>
        </w:tc>
        <w:tc>
          <w:tcPr>
            <w:tcW w:type="dxa" w:w="2074"/>
            <w:vAlign w:val="top"/>
          </w:tcPr>
          <w:p>
            <w:pPr>
              <w:spacing w:after="0"/>
            </w:pPr>
            <w:r>
              <w:rPr>
                <w:sz w:val="15"/>
              </w:rPr>
              <w:t>SyncOperationDependency</w:t>
            </w:r>
          </w:p>
        </w:tc>
        <w:tc>
          <w:tcPr>
            <w:tcW w:type="dxa" w:w="2074"/>
            <w:vAlign w:val="top"/>
          </w:tcPr>
          <w:p>
            <w:pPr>
              <w:spacing w:after="0"/>
            </w:pPr>
            <w:r>
              <w:rPr>
                <w:sz w:val="15"/>
              </w:rPr>
              <w:t>Room + server diagnostics where needed</w:t>
            </w:r>
          </w:p>
        </w:tc>
        <w:tc>
          <w:tcPr>
            <w:tcW w:type="dxa" w:w="2074"/>
            <w:vAlign w:val="top"/>
          </w:tcPr>
          <w:p>
            <w:pPr>
              <w:spacing w:after="0"/>
            </w:pPr>
            <w:r>
              <w:rPr>
                <w:sz w:val="15"/>
              </w:rPr>
              <w:t>dependency_id UUID PK; parent_operation_id; dependent_operation_id; dependency_type; created_at</w:t>
            </w:r>
          </w:p>
        </w:tc>
        <w:tc>
          <w:tcPr>
            <w:tcW w:type="dxa" w:w="2074"/>
            <w:vAlign w:val="top"/>
          </w:tcPr>
          <w:p>
            <w:pPr>
              <w:spacing w:after="0"/>
            </w:pPr>
            <w:r>
              <w:rPr>
                <w:sz w:val="15"/>
              </w:rPr>
              <w:t>UQ(parent,dependent); parent != dependent.</w:t>
            </w:r>
          </w:p>
        </w:tc>
      </w:tr>
      <w:tr>
        <w:tc>
          <w:tcPr>
            <w:tcW w:type="dxa" w:w="2074"/>
            <w:vAlign w:val="top"/>
          </w:tcPr>
          <w:p>
            <w:pPr>
              <w:spacing w:after="0"/>
            </w:pPr>
            <w:r>
              <w:rPr>
                <w:sz w:val="15"/>
              </w:rPr>
              <w:t>sync_conflicts</w:t>
            </w:r>
          </w:p>
        </w:tc>
        <w:tc>
          <w:tcPr>
            <w:tcW w:type="dxa" w:w="2074"/>
            <w:vAlign w:val="top"/>
          </w:tcPr>
          <w:p>
            <w:pPr>
              <w:spacing w:after="0"/>
            </w:pPr>
            <w:r>
              <w:rPr>
                <w:sz w:val="15"/>
              </w:rPr>
              <w:t>SyncConflict</w:t>
            </w:r>
          </w:p>
        </w:tc>
        <w:tc>
          <w:tcPr>
            <w:tcW w:type="dxa" w:w="2074"/>
            <w:vAlign w:val="top"/>
          </w:tcPr>
          <w:p>
            <w:pPr>
              <w:spacing w:after="0"/>
            </w:pPr>
            <w:r>
              <w:rPr>
                <w:sz w:val="15"/>
              </w:rPr>
              <w:t>Room + server</w:t>
            </w:r>
          </w:p>
        </w:tc>
        <w:tc>
          <w:tcPr>
            <w:tcW w:type="dxa" w:w="2074"/>
            <w:vAlign w:val="top"/>
          </w:tcPr>
          <w:p>
            <w:pPr>
              <w:spacing w:after="0"/>
            </w:pPr>
            <w:r>
              <w:rPr>
                <w:sz w:val="15"/>
              </w:rPr>
              <w:t>sync_conflict_id UUID PK; sync_operation_id; entity ref; status; local_attempt; server_value; server_version; resolution_type/actor/time</w:t>
            </w:r>
          </w:p>
        </w:tc>
        <w:tc>
          <w:tcPr>
            <w:tcW w:type="dxa" w:w="2074"/>
            <w:vAlign w:val="top"/>
          </w:tcPr>
          <w:p>
            <w:pPr>
              <w:spacing w:after="0"/>
            </w:pPr>
            <w:r>
              <w:rPr>
                <w:sz w:val="15"/>
              </w:rPr>
              <w:t>OPEN/RESOLVED; no force overwrite.</w:t>
            </w:r>
          </w:p>
        </w:tc>
      </w:tr>
      <w:tr>
        <w:tc>
          <w:tcPr>
            <w:tcW w:type="dxa" w:w="2074"/>
            <w:vAlign w:val="top"/>
          </w:tcPr>
          <w:p>
            <w:pPr>
              <w:spacing w:after="0"/>
            </w:pPr>
            <w:r>
              <w:rPr>
                <w:sz w:val="15"/>
              </w:rPr>
              <w:t>audit_events</w:t>
            </w:r>
          </w:p>
        </w:tc>
        <w:tc>
          <w:tcPr>
            <w:tcW w:type="dxa" w:w="2074"/>
            <w:vAlign w:val="top"/>
          </w:tcPr>
          <w:p>
            <w:pPr>
              <w:spacing w:after="0"/>
            </w:pPr>
            <w:r>
              <w:rPr>
                <w:sz w:val="15"/>
              </w:rPr>
              <w:t>AuditEvent</w:t>
            </w:r>
          </w:p>
        </w:tc>
        <w:tc>
          <w:tcPr>
            <w:tcW w:type="dxa" w:w="2074"/>
            <w:vAlign w:val="top"/>
          </w:tcPr>
          <w:p>
            <w:pPr>
              <w:spacing w:after="0"/>
            </w:pPr>
            <w:r>
              <w:rPr>
                <w:sz w:val="15"/>
              </w:rPr>
              <w:t>Server authoritative; selective Room projection</w:t>
            </w:r>
          </w:p>
        </w:tc>
        <w:tc>
          <w:tcPr>
            <w:tcW w:type="dxa" w:w="2074"/>
            <w:vAlign w:val="top"/>
          </w:tcPr>
          <w:p>
            <w:pPr>
              <w:spacing w:after="0"/>
            </w:pPr>
            <w:r>
              <w:rPr>
                <w:sz w:val="15"/>
              </w:rPr>
              <w:t>audit_event_id UUID PK; organization/context/entity/action; actor_user_id nullable only SYSTEM; source/system_actor; occurred_at; before_data/after_data/change_metadata JSONB</w:t>
            </w:r>
          </w:p>
        </w:tc>
        <w:tc>
          <w:tcPr>
            <w:tcW w:type="dxa" w:w="2074"/>
            <w:vAlign w:val="top"/>
          </w:tcPr>
          <w:p>
            <w:pPr>
              <w:spacing w:after="0"/>
            </w:pPr>
            <w:r>
              <w:rPr>
                <w:sz w:val="15"/>
              </w:rPr>
              <w:t>Append-only; no secrets/binaries.</w:t>
            </w:r>
          </w:p>
        </w:tc>
      </w:tr>
      <w:tr>
        <w:tc>
          <w:tcPr>
            <w:tcW w:type="dxa" w:w="2074"/>
            <w:vAlign w:val="top"/>
          </w:tcPr>
          <w:p>
            <w:pPr>
              <w:spacing w:after="0"/>
            </w:pPr>
            <w:r>
              <w:rPr>
                <w:sz w:val="15"/>
              </w:rPr>
              <w:t>notifications</w:t>
            </w:r>
          </w:p>
        </w:tc>
        <w:tc>
          <w:tcPr>
            <w:tcW w:type="dxa" w:w="2074"/>
            <w:vAlign w:val="top"/>
          </w:tcPr>
          <w:p>
            <w:pPr>
              <w:spacing w:after="0"/>
            </w:pPr>
            <w:r>
              <w:rPr>
                <w:sz w:val="15"/>
              </w:rPr>
              <w:t>Notification</w:t>
            </w:r>
          </w:p>
        </w:tc>
        <w:tc>
          <w:tcPr>
            <w:tcW w:type="dxa" w:w="2074"/>
            <w:vAlign w:val="top"/>
          </w:tcPr>
          <w:p>
            <w:pPr>
              <w:spacing w:after="0"/>
            </w:pPr>
            <w:r>
              <w:rPr>
                <w:sz w:val="15"/>
              </w:rPr>
              <w:t>Server + user Room projection</w:t>
            </w:r>
          </w:p>
        </w:tc>
        <w:tc>
          <w:tcPr>
            <w:tcW w:type="dxa" w:w="2074"/>
            <w:vAlign w:val="top"/>
          </w:tcPr>
          <w:p>
            <w:pPr>
              <w:spacing w:after="0"/>
            </w:pPr>
            <w:r>
              <w:rPr>
                <w:sz w:val="15"/>
              </w:rPr>
              <w:t>notification_id UUID PK; recipient_user_id; organization/context refs; notification_type; title/body/context; created_at; read_at/state</w:t>
            </w:r>
          </w:p>
        </w:tc>
        <w:tc>
          <w:tcPr>
            <w:tcW w:type="dxa" w:w="2074"/>
            <w:vAlign w:val="top"/>
          </w:tcPr>
          <w:p>
            <w:pPr>
              <w:spacing w:after="0"/>
            </w:pPr>
            <w:r>
              <w:rPr>
                <w:sz w:val="15"/>
              </w:rPr>
              <w:t>12-month server retention; not audit source.</w:t>
            </w:r>
          </w:p>
        </w:tc>
      </w:tr>
      <w:tr>
        <w:tc>
          <w:tcPr>
            <w:tcW w:type="dxa" w:w="2074"/>
            <w:vAlign w:val="top"/>
          </w:tcPr>
          <w:p>
            <w:pPr>
              <w:spacing w:after="0"/>
            </w:pPr>
            <w:r>
              <w:rPr>
                <w:sz w:val="15"/>
              </w:rPr>
              <w:t>user_preferences</w:t>
            </w:r>
          </w:p>
        </w:tc>
        <w:tc>
          <w:tcPr>
            <w:tcW w:type="dxa" w:w="2074"/>
            <w:vAlign w:val="top"/>
          </w:tcPr>
          <w:p>
            <w:pPr>
              <w:spacing w:after="0"/>
            </w:pPr>
            <w:r>
              <w:rPr>
                <w:sz w:val="15"/>
              </w:rPr>
              <w:t>UserPreference</w:t>
            </w:r>
          </w:p>
        </w:tc>
        <w:tc>
          <w:tcPr>
            <w:tcW w:type="dxa" w:w="2074"/>
            <w:vAlign w:val="top"/>
          </w:tcPr>
          <w:p>
            <w:pPr>
              <w:spacing w:after="0"/>
            </w:pPr>
            <w:r>
              <w:rPr>
                <w:sz w:val="15"/>
              </w:rPr>
              <w:t>Server for synchronized preferences</w:t>
            </w:r>
          </w:p>
        </w:tc>
        <w:tc>
          <w:tcPr>
            <w:tcW w:type="dxa" w:w="2074"/>
            <w:vAlign w:val="top"/>
          </w:tcPr>
          <w:p>
            <w:pPr>
              <w:spacing w:after="0"/>
            </w:pPr>
            <w:r>
              <w:rPr>
                <w:sz w:val="15"/>
              </w:rPr>
              <w:t>user_preference_id UUID PK; user_id UQ; approved synchronized preference fields; metadata</w:t>
            </w:r>
          </w:p>
        </w:tc>
        <w:tc>
          <w:tcPr>
            <w:tcW w:type="dxa" w:w="2074"/>
            <w:vAlign w:val="top"/>
          </w:tcPr>
          <w:p>
            <w:pPr>
              <w:spacing w:after="0"/>
            </w:pPr>
            <w:r>
              <w:rPr>
                <w:sz w:val="15"/>
              </w:rPr>
              <w:t>Presentation-only local settings may instead use DataStore.</w:t>
            </w:r>
          </w:p>
        </w:tc>
      </w:tr>
      <w:tr>
        <w:tc>
          <w:tcPr>
            <w:tcW w:type="dxa" w:w="2074"/>
            <w:vAlign w:val="top"/>
          </w:tcPr>
          <w:p>
            <w:pPr>
              <w:spacing w:after="0"/>
            </w:pPr>
            <w:r>
              <w:rPr>
                <w:sz w:val="15"/>
              </w:rPr>
              <w:t>organization_configurations</w:t>
            </w:r>
          </w:p>
        </w:tc>
        <w:tc>
          <w:tcPr>
            <w:tcW w:type="dxa" w:w="2074"/>
            <w:vAlign w:val="top"/>
          </w:tcPr>
          <w:p>
            <w:pPr>
              <w:spacing w:after="0"/>
            </w:pPr>
            <w:r>
              <w:rPr>
                <w:sz w:val="15"/>
              </w:rPr>
              <w:t>OrganizationConfiguration</w:t>
            </w:r>
          </w:p>
        </w:tc>
        <w:tc>
          <w:tcPr>
            <w:tcW w:type="dxa" w:w="2074"/>
            <w:vAlign w:val="top"/>
          </w:tcPr>
          <w:p>
            <w:pPr>
              <w:spacing w:after="0"/>
            </w:pPr>
            <w:r>
              <w:rPr>
                <w:sz w:val="15"/>
              </w:rPr>
              <w:t>Server + authorized Room projection</w:t>
            </w:r>
          </w:p>
        </w:tc>
        <w:tc>
          <w:tcPr>
            <w:tcW w:type="dxa" w:w="2074"/>
            <w:vAlign w:val="top"/>
          </w:tcPr>
          <w:p>
            <w:pPr>
              <w:spacing w:after="0"/>
            </w:pPr>
            <w:r>
              <w:rPr>
                <w:sz w:val="15"/>
              </w:rPr>
              <w:t>organization_configuration_id UUID PK; organization_id; key; value_type; typed value columns; metadata</w:t>
            </w:r>
          </w:p>
        </w:tc>
        <w:tc>
          <w:tcPr>
            <w:tcW w:type="dxa" w:w="2074"/>
            <w:vAlign w:val="top"/>
          </w:tcPr>
          <w:p>
            <w:pPr>
              <w:spacing w:after="0"/>
            </w:pPr>
            <w:r>
              <w:rPr>
                <w:sz w:val="15"/>
              </w:rPr>
              <w:t>UQ(org,key); approved registry only; no arbitrary JSON.</w:t>
            </w:r>
          </w:p>
        </w:tc>
      </w:tr>
    </w:tbl>
    <w:p>
      <w:pPr>
        <w:pStyle w:val="Heading2"/>
      </w:pPr>
      <w:r>
        <w:t>6.1 Snapshot child structures</w:t>
      </w:r>
    </w:p>
    <w:p>
      <w:r>
        <w:t>Campaign snapshots and final inventory snapshots use explicit child structures for N-valued frozen collections. Final entries freeze sufficient values to render completed history without mutable current-master joins.</w:t>
      </w:r>
    </w:p>
    <w:p>
      <w:pPr>
        <w:pStyle w:val="Heading2"/>
      </w:pPr>
      <w:r>
        <w:t>6.2 Geometry parameter structure</w:t>
      </w:r>
    </w:p>
    <w:p>
      <w:r>
        <w:t>GeometryProfileVersion uses an explicit versioned parameter structure keyed by Geometry Family. Generic opaque business JSON is prohibited. Exact F01–F10 parameters are transcribed from the frozen Calculation Engine contract without changing this strategy.</w:t>
      </w:r>
    </w:p>
    <w:p>
      <w:pPr>
        <w:pStyle w:val="Heading1"/>
      </w:pPr>
      <w:r>
        <w:t>7. Uniqueness and CHECK constraints</w:t>
      </w:r>
    </w:p>
    <w:p>
      <w:pPr>
        <w:pStyle w:val="ListBullet"/>
        <w:spacing w:after="40"/>
      </w:pPr>
      <w:r>
        <w:t>Membership UQ(organization_id,user_id); Location UQ(organization_id,code); Storage Unit UQ(location_id,code); Storage Space UQ(storage_unit_id,code); Client and Geometry Profile UQ(organization_id,code).</w:t>
      </w:r>
    </w:p>
    <w:p>
      <w:pPr>
        <w:pStyle w:val="ListBullet"/>
        <w:spacing w:after="40"/>
      </w:pPr>
      <w:r>
        <w:t>Campaign Scope UQ(campaign_id,storage_space_id); partial ACTIVE Campaign Team UQ(campaign_id,user_id).</w:t>
      </w:r>
    </w:p>
    <w:p>
      <w:pPr>
        <w:pStyle w:val="ListBullet"/>
        <w:spacing w:after="40"/>
      </w:pPr>
      <w:r>
        <w:t>Stocktaking Record UQ(campaign_id,storage_space_id); Revision UQ(stocktaking_record_id,revision_number); Measurement UQ(revision,sequence) with sequence 1..5.</w:t>
      </w:r>
    </w:p>
    <w:p>
      <w:pPr>
        <w:pStyle w:val="ListBullet"/>
        <w:spacing w:after="40"/>
      </w:pPr>
      <w:r>
        <w:t>Final Snapshot UQ(campaign_id); Final Entry UQ(final_snapshot_id,storage_space_id).</w:t>
      </w:r>
    </w:p>
    <w:p>
      <w:pPr>
        <w:pStyle w:val="ListBullet"/>
        <w:spacing w:after="40"/>
      </w:pPr>
      <w:r>
        <w:t>Offline Manifest UQ(campaign,device,packageVersion) plus one current; OrganizationConfiguration UQ(org,key).</w:t>
      </w:r>
    </w:p>
    <w:p>
      <w:pPr>
        <w:pStyle w:val="ListBullet"/>
        <w:spacing w:after="40"/>
      </w:pPr>
      <w:r>
        <w:t>Evidence enforces principal-owner XOR and PHOTO/NOTE discriminator constraints.</w:t>
      </w:r>
    </w:p>
    <w:p>
      <w:pPr>
        <w:pStyle w:val="ListBullet"/>
        <w:spacing w:after="40"/>
      </w:pPr>
      <w:r>
        <w:t>Cross-row rules (last Admin, five photos, Empty measurement semantics, Close Guards) are transactional constraints, not fake row CHECKs.</w:t>
      </w:r>
    </w:p>
    <w:p>
      <w:pPr>
        <w:pStyle w:val="Heading1"/>
      </w:pPr>
      <w:r>
        <w:t>8. Index strategy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Pr>
          <w:p>
            <w:r>
              <w:rPr>
                <w:b/>
              </w:rPr>
              <w:t>Query family</w:t>
            </w:r>
          </w:p>
        </w:tc>
        <w:tc>
          <w:tcPr>
            <w:tcW w:type="dxa" w:w="5184"/>
            <w:vAlign w:val="center"/>
          </w:tcPr>
          <w:p>
            <w:r>
              <w:rPr>
                <w:b/>
              </w:rPr>
              <w:t>Required index intent</w:t>
            </w:r>
          </w:p>
        </w:tc>
      </w:tr>
      <w:tr>
        <w:tc>
          <w:tcPr>
            <w:tcW w:type="dxa" w:w="5184"/>
            <w:vAlign w:val="top"/>
          </w:tcPr>
          <w:p>
            <w:pPr>
              <w:spacing w:after="0"/>
            </w:pPr>
            <w:r>
              <w:rPr>
                <w:sz w:val="15"/>
              </w:rPr>
              <w:t>Tenant/master lookup</w:t>
            </w:r>
          </w:p>
        </w:tc>
        <w:tc>
          <w:tcPr>
            <w:tcW w:type="dxa" w:w="5184"/>
            <w:vAlign w:val="top"/>
          </w:tcPr>
          <w:p>
            <w:pPr>
              <w:spacing w:after="0"/>
            </w:pPr>
            <w:r>
              <w:rPr>
                <w:sz w:val="15"/>
              </w:rPr>
              <w:t>locations(organization_id,lifecycle_status,code), clients(organization_id,lifecycle_status,code), geometry_profiles(organization_id,lifecycle_status,code)</w:t>
            </w:r>
          </w:p>
        </w:tc>
      </w:tr>
      <w:tr>
        <w:tc>
          <w:tcPr>
            <w:tcW w:type="dxa" w:w="5184"/>
            <w:vAlign w:val="top"/>
          </w:tcPr>
          <w:p>
            <w:pPr>
              <w:spacing w:after="0"/>
            </w:pPr>
            <w:r>
              <w:rPr>
                <w:sz w:val="15"/>
              </w:rPr>
              <w:t>Hierarchy navigation</w:t>
            </w:r>
          </w:p>
        </w:tc>
        <w:tc>
          <w:tcPr>
            <w:tcW w:type="dxa" w:w="5184"/>
            <w:vAlign w:val="top"/>
          </w:tcPr>
          <w:p>
            <w:pPr>
              <w:spacing w:after="0"/>
            </w:pPr>
            <w:r>
              <w:rPr>
                <w:sz w:val="15"/>
              </w:rPr>
              <w:t>storage_units(location_id,lifecycle_status,code), storage_spaces(storage_unit_id,lifecycle_status,code)</w:t>
            </w:r>
          </w:p>
        </w:tc>
      </w:tr>
      <w:tr>
        <w:tc>
          <w:tcPr>
            <w:tcW w:type="dxa" w:w="5184"/>
            <w:vAlign w:val="top"/>
          </w:tcPr>
          <w:p>
            <w:pPr>
              <w:spacing w:after="0"/>
            </w:pPr>
            <w:r>
              <w:rPr>
                <w:sz w:val="15"/>
              </w:rPr>
              <w:t>Campaign lists</w:t>
            </w:r>
          </w:p>
        </w:tc>
        <w:tc>
          <w:tcPr>
            <w:tcW w:type="dxa" w:w="5184"/>
            <w:vAlign w:val="top"/>
          </w:tcPr>
          <w:p>
            <w:pPr>
              <w:spacing w:after="0"/>
            </w:pPr>
            <w:r>
              <w:rPr>
                <w:sz w:val="15"/>
              </w:rPr>
              <w:t>inventory_campaigns(organization_id,status,start_date), inventory_campaigns(organization_id,campaign_year,code)</w:t>
            </w:r>
          </w:p>
        </w:tc>
      </w:tr>
      <w:tr>
        <w:tc>
          <w:tcPr>
            <w:tcW w:type="dxa" w:w="5184"/>
            <w:vAlign w:val="top"/>
          </w:tcPr>
          <w:p>
            <w:pPr>
              <w:spacing w:after="0"/>
            </w:pPr>
            <w:r>
              <w:rPr>
                <w:sz w:val="15"/>
              </w:rPr>
              <w:t>Campaign scope/team</w:t>
            </w:r>
          </w:p>
        </w:tc>
        <w:tc>
          <w:tcPr>
            <w:tcW w:type="dxa" w:w="5184"/>
            <w:vAlign w:val="top"/>
          </w:tcPr>
          <w:p>
            <w:pPr>
              <w:spacing w:after="0"/>
            </w:pPr>
            <w:r>
              <w:rPr>
                <w:sz w:val="15"/>
              </w:rPr>
              <w:t>campaign_scopes(campaign_id,storage_space_id), partial ACTIVE campaign_team_assignments(campaign_id,user_id)</w:t>
            </w:r>
          </w:p>
        </w:tc>
      </w:tr>
      <w:tr>
        <w:tc>
          <w:tcPr>
            <w:tcW w:type="dxa" w:w="5184"/>
            <w:vAlign w:val="top"/>
          </w:tcPr>
          <w:p>
            <w:pPr>
              <w:spacing w:after="0"/>
            </w:pPr>
            <w:r>
              <w:rPr>
                <w:sz w:val="15"/>
              </w:rPr>
              <w:t>Stocktaking navigation</w:t>
            </w:r>
          </w:p>
        </w:tc>
        <w:tc>
          <w:tcPr>
            <w:tcW w:type="dxa" w:w="5184"/>
            <w:vAlign w:val="top"/>
          </w:tcPr>
          <w:p>
            <w:pPr>
              <w:spacing w:after="0"/>
            </w:pPr>
            <w:r>
              <w:rPr>
                <w:sz w:val="15"/>
              </w:rPr>
              <w:t>stocktaking_records(campaign_id,storage_space_id), stocktaking_revisions(stocktaking_record_id,revision_number DESC), issues(stocktaking_record_id,status)</w:t>
            </w:r>
          </w:p>
        </w:tc>
      </w:tr>
      <w:tr>
        <w:tc>
          <w:tcPr>
            <w:tcW w:type="dxa" w:w="5184"/>
            <w:vAlign w:val="top"/>
          </w:tcPr>
          <w:p>
            <w:pPr>
              <w:spacing w:after="0"/>
            </w:pPr>
            <w:r>
              <w:rPr>
                <w:sz w:val="15"/>
              </w:rPr>
              <w:t>Measurements/results</w:t>
            </w:r>
          </w:p>
        </w:tc>
        <w:tc>
          <w:tcPr>
            <w:tcW w:type="dxa" w:w="5184"/>
            <w:vAlign w:val="top"/>
          </w:tcPr>
          <w:p>
            <w:pPr>
              <w:spacing w:after="0"/>
            </w:pPr>
            <w:r>
              <w:rPr>
                <w:sz w:val="15"/>
              </w:rPr>
              <w:t>measurements(stocktaking_revision_id,sequence_number), calculation_results(stocktaking_revision_id,calculated_at)</w:t>
            </w:r>
          </w:p>
        </w:tc>
      </w:tr>
      <w:tr>
        <w:tc>
          <w:tcPr>
            <w:tcW w:type="dxa" w:w="5184"/>
            <w:vAlign w:val="top"/>
          </w:tcPr>
          <w:p>
            <w:pPr>
              <w:spacing w:after="0"/>
            </w:pPr>
            <w:r>
              <w:rPr>
                <w:sz w:val="15"/>
              </w:rPr>
              <w:t>Evidence</w:t>
            </w:r>
          </w:p>
        </w:tc>
        <w:tc>
          <w:tcPr>
            <w:tcW w:type="dxa" w:w="5184"/>
            <w:vAlign w:val="top"/>
          </w:tcPr>
          <w:p>
            <w:pPr>
              <w:spacing w:after="0"/>
            </w:pPr>
            <w:r>
              <w:rPr>
                <w:sz w:val="15"/>
              </w:rPr>
              <w:t>evidence(stocktaking_record_id,stocktaking_revision_id,evidence_type), evidence(issue_id,evidence_type), evidence(sync_state)</w:t>
            </w:r>
          </w:p>
        </w:tc>
      </w:tr>
      <w:tr>
        <w:tc>
          <w:tcPr>
            <w:tcW w:type="dxa" w:w="5184"/>
            <w:vAlign w:val="top"/>
          </w:tcPr>
          <w:p>
            <w:pPr>
              <w:spacing w:after="0"/>
            </w:pPr>
            <w:r>
              <w:rPr>
                <w:sz w:val="15"/>
              </w:rPr>
              <w:t>Final history</w:t>
            </w:r>
          </w:p>
        </w:tc>
        <w:tc>
          <w:tcPr>
            <w:tcW w:type="dxa" w:w="5184"/>
            <w:vAlign w:val="top"/>
          </w:tcPr>
          <w:p>
            <w:pPr>
              <w:spacing w:after="0"/>
            </w:pPr>
            <w:r>
              <w:rPr>
                <w:sz w:val="15"/>
              </w:rPr>
              <w:t>final_inventory_snapshots(organization_id,closed_at), final_inventory_snapshot_entries(final_snapshot_id,storage_space_id)</w:t>
            </w:r>
          </w:p>
        </w:tc>
      </w:tr>
      <w:tr>
        <w:tc>
          <w:tcPr>
            <w:tcW w:type="dxa" w:w="5184"/>
            <w:vAlign w:val="top"/>
          </w:tcPr>
          <w:p>
            <w:pPr>
              <w:spacing w:after="0"/>
            </w:pPr>
            <w:r>
              <w:rPr>
                <w:sz w:val="15"/>
              </w:rPr>
              <w:t>Sync worker</w:t>
            </w:r>
          </w:p>
        </w:tc>
        <w:tc>
          <w:tcPr>
            <w:tcW w:type="dxa" w:w="5184"/>
            <w:vAlign w:val="top"/>
          </w:tcPr>
          <w:p>
            <w:pPr>
              <w:spacing w:after="0"/>
            </w:pPr>
            <w:r>
              <w:rPr>
                <w:sz w:val="15"/>
              </w:rPr>
              <w:t>sync_operations(state,created_at), sync_operations(entity_type,entity_id), sync_operation_dependencies(dependent_operation_id)</w:t>
            </w:r>
          </w:p>
        </w:tc>
      </w:tr>
      <w:tr>
        <w:tc>
          <w:tcPr>
            <w:tcW w:type="dxa" w:w="5184"/>
            <w:vAlign w:val="top"/>
          </w:tcPr>
          <w:p>
            <w:pPr>
              <w:spacing w:after="0"/>
            </w:pPr>
            <w:r>
              <w:rPr>
                <w:sz w:val="15"/>
              </w:rPr>
              <w:t>Audit/notifications</w:t>
            </w:r>
          </w:p>
        </w:tc>
        <w:tc>
          <w:tcPr>
            <w:tcW w:type="dxa" w:w="5184"/>
            <w:vAlign w:val="top"/>
          </w:tcPr>
          <w:p>
            <w:pPr>
              <w:spacing w:after="0"/>
            </w:pPr>
            <w:r>
              <w:rPr>
                <w:sz w:val="15"/>
              </w:rPr>
              <w:t>audit_events(organization_id,occurred_at DESC), audit_events(entity_type,entity_id,occurred_at DESC), notifications(recipient_user_id,read_at,created_at DESC)</w:t>
            </w:r>
          </w:p>
        </w:tc>
      </w:tr>
    </w:tbl>
    <w:p>
      <w:pPr>
        <w:pStyle w:val="Heading1"/>
      </w:pPr>
      <w:r>
        <w:t>9. Transaction boundaries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tcPr>
          <w:p>
            <w:r>
              <w:rPr>
                <w:b/>
              </w:rPr>
              <w:t>Operation</w:t>
            </w:r>
          </w:p>
        </w:tc>
        <w:tc>
          <w:tcPr>
            <w:tcW w:type="dxa" w:w="3456"/>
            <w:vAlign w:val="center"/>
          </w:tcPr>
          <w:p>
            <w:r>
              <w:rPr>
                <w:b/>
              </w:rPr>
              <w:t>Store</w:t>
            </w:r>
          </w:p>
        </w:tc>
        <w:tc>
          <w:tcPr>
            <w:tcW w:type="dxa" w:w="3456"/>
            <w:vAlign w:val="center"/>
          </w:tcPr>
          <w:p>
            <w:r>
              <w:rPr>
                <w:b/>
              </w:rPr>
              <w:t>Atomic boundary</w:t>
            </w:r>
          </w:p>
        </w:tc>
      </w:tr>
      <w:tr>
        <w:tc>
          <w:tcPr>
            <w:tcW w:type="dxa" w:w="3456"/>
            <w:vAlign w:val="top"/>
          </w:tcPr>
          <w:p>
            <w:pPr>
              <w:spacing w:after="0"/>
            </w:pPr>
            <w:r>
              <w:rPr>
                <w:sz w:val="15"/>
              </w:rPr>
              <w:t>Save &amp; Launch</w:t>
            </w:r>
          </w:p>
        </w:tc>
        <w:tc>
          <w:tcPr>
            <w:tcW w:type="dxa" w:w="3456"/>
            <w:vAlign w:val="top"/>
          </w:tcPr>
          <w:p>
            <w:pPr>
              <w:spacing w:after="0"/>
            </w:pPr>
            <w:r>
              <w:rPr>
                <w:sz w:val="15"/>
              </w:rPr>
              <w:t>Server PostgreSQL</w:t>
            </w:r>
          </w:p>
        </w:tc>
        <w:tc>
          <w:tcPr>
            <w:tcW w:type="dxa" w:w="3456"/>
            <w:vAlign w:val="top"/>
          </w:tcPr>
          <w:p>
            <w:pPr>
              <w:spacing w:after="0"/>
            </w:pPr>
            <w:r>
              <w:rPr>
                <w:sz w:val="15"/>
              </w:rPr>
              <w:t>Allocate Campaign Code atomically; create ACTIVE Campaign; Scope; initial Team; CampaignSnapshot header/children; Audit. Any failure rolls back.</w:t>
            </w:r>
          </w:p>
        </w:tc>
      </w:tr>
      <w:tr>
        <w:tc>
          <w:tcPr>
            <w:tcW w:type="dxa" w:w="3456"/>
            <w:vAlign w:val="top"/>
          </w:tcPr>
          <w:p>
            <w:pPr>
              <w:spacing w:after="0"/>
            </w:pPr>
            <w:r>
              <w:rPr>
                <w:sz w:val="15"/>
              </w:rPr>
              <w:t>Offline business mutation</w:t>
            </w:r>
          </w:p>
        </w:tc>
        <w:tc>
          <w:tcPr>
            <w:tcW w:type="dxa" w:w="3456"/>
            <w:vAlign w:val="top"/>
          </w:tcPr>
          <w:p>
            <w:pPr>
              <w:spacing w:after="0"/>
            </w:pPr>
            <w:r>
              <w:rPr>
                <w:sz w:val="15"/>
              </w:rPr>
              <w:t>Room</w:t>
            </w:r>
          </w:p>
        </w:tc>
        <w:tc>
          <w:tcPr>
            <w:tcW w:type="dxa" w:w="3456"/>
            <w:vAlign w:val="top"/>
          </w:tcPr>
          <w:p>
            <w:pPr>
              <w:spacing w:after="0"/>
            </w:pPr>
            <w:r>
              <w:rPr>
                <w:sz w:val="15"/>
              </w:rPr>
              <w:t>Write business row(s) and exactly one logical SyncOperation in the same transaction before UI success.</w:t>
            </w:r>
          </w:p>
        </w:tc>
      </w:tr>
      <w:tr>
        <w:tc>
          <w:tcPr>
            <w:tcW w:type="dxa" w:w="3456"/>
            <w:vAlign w:val="top"/>
          </w:tcPr>
          <w:p>
            <w:pPr>
              <w:spacing w:after="0"/>
            </w:pPr>
            <w:r>
              <w:rPr>
                <w:sz w:val="15"/>
              </w:rPr>
              <w:t>Evidence offline save</w:t>
            </w:r>
          </w:p>
        </w:tc>
        <w:tc>
          <w:tcPr>
            <w:tcW w:type="dxa" w:w="3456"/>
            <w:vAlign w:val="top"/>
          </w:tcPr>
          <w:p>
            <w:pPr>
              <w:spacing w:after="0"/>
            </w:pPr>
            <w:r>
              <w:rPr>
                <w:sz w:val="15"/>
              </w:rPr>
              <w:t>Room + app-private file protocol</w:t>
            </w:r>
          </w:p>
        </w:tc>
        <w:tc>
          <w:tcPr>
            <w:tcW w:type="dxa" w:w="3456"/>
            <w:vAlign w:val="top"/>
          </w:tcPr>
          <w:p>
            <w:pPr>
              <w:spacing w:after="0"/>
            </w:pPr>
            <w:r>
              <w:rPr>
                <w:sz w:val="15"/>
              </w:rPr>
              <w:t>Private file must be durably written, then metadata/outbox committed; UI success only after durable state. Cleanup handles failed partial file protocol.</w:t>
            </w:r>
          </w:p>
        </w:tc>
      </w:tr>
      <w:tr>
        <w:tc>
          <w:tcPr>
            <w:tcW w:type="dxa" w:w="3456"/>
            <w:vAlign w:val="top"/>
          </w:tcPr>
          <w:p>
            <w:pPr>
              <w:spacing w:after="0"/>
            </w:pPr>
            <w:r>
              <w:rPr>
                <w:sz w:val="15"/>
              </w:rPr>
              <w:t>Validation</w:t>
            </w:r>
          </w:p>
        </w:tc>
        <w:tc>
          <w:tcPr>
            <w:tcW w:type="dxa" w:w="3456"/>
            <w:vAlign w:val="top"/>
          </w:tcPr>
          <w:p>
            <w:pPr>
              <w:spacing w:after="0"/>
            </w:pPr>
            <w:r>
              <w:rPr>
                <w:sz w:val="15"/>
              </w:rPr>
              <w:t>Room for supported offline validation; server on synchronization/revalidation</w:t>
            </w:r>
          </w:p>
        </w:tc>
        <w:tc>
          <w:tcPr>
            <w:tcW w:type="dxa" w:w="3456"/>
            <w:vAlign w:val="top"/>
          </w:tcPr>
          <w:p>
            <w:pPr>
              <w:spacing w:after="0"/>
            </w:pPr>
            <w:r>
              <w:rPr>
                <w:sz w:val="15"/>
              </w:rPr>
              <w:t>Revalidate revision inputs, measurement count, Empty/non-empty rules, current CalculationResult fingerprint, Evidence constraints; freeze revision and audit/outbox atomically.</w:t>
            </w:r>
          </w:p>
        </w:tc>
      </w:tr>
      <w:tr>
        <w:tc>
          <w:tcPr>
            <w:tcW w:type="dxa" w:w="3456"/>
            <w:vAlign w:val="top"/>
          </w:tcPr>
          <w:p>
            <w:pPr>
              <w:spacing w:after="0"/>
            </w:pPr>
            <w:r>
              <w:rPr>
                <w:sz w:val="15"/>
              </w:rPr>
              <w:t>Reset Validation</w:t>
            </w:r>
          </w:p>
        </w:tc>
        <w:tc>
          <w:tcPr>
            <w:tcW w:type="dxa" w:w="3456"/>
            <w:vAlign w:val="top"/>
          </w:tcPr>
          <w:p>
            <w:pPr>
              <w:spacing w:after="0"/>
            </w:pPr>
            <w:r>
              <w:rPr>
                <w:sz w:val="15"/>
              </w:rPr>
              <w:t>Server + synchronized Room result</w:t>
            </w:r>
          </w:p>
        </w:tc>
        <w:tc>
          <w:tcPr>
            <w:tcW w:type="dxa" w:w="3456"/>
            <w:vAlign w:val="top"/>
          </w:tcPr>
          <w:p>
            <w:pPr>
              <w:spacing w:after="0"/>
            </w:pPr>
            <w:r>
              <w:rPr>
                <w:sz w:val="15"/>
              </w:rPr>
              <w:t>Create revision N+1 based on prior validated revision; repoint currentRevision; audit/outbox effects; never mutate prior validated revision.</w:t>
            </w:r>
          </w:p>
        </w:tc>
      </w:tr>
      <w:tr>
        <w:tc>
          <w:tcPr>
            <w:tcW w:type="dxa" w:w="3456"/>
            <w:vAlign w:val="top"/>
          </w:tcPr>
          <w:p>
            <w:pPr>
              <w:spacing w:after="0"/>
            </w:pPr>
            <w:r>
              <w:rPr>
                <w:sz w:val="15"/>
              </w:rPr>
              <w:t>Issue resolve/reopen</w:t>
            </w:r>
          </w:p>
        </w:tc>
        <w:tc>
          <w:tcPr>
            <w:tcW w:type="dxa" w:w="3456"/>
            <w:vAlign w:val="top"/>
          </w:tcPr>
          <w:p>
            <w:pPr>
              <w:spacing w:after="0"/>
            </w:pPr>
            <w:r>
              <w:rPr>
                <w:sz w:val="15"/>
              </w:rPr>
              <w:t>Room/server</w:t>
            </w:r>
          </w:p>
        </w:tc>
        <w:tc>
          <w:tcPr>
            <w:tcW w:type="dxa" w:w="3456"/>
            <w:vAlign w:val="top"/>
          </w:tcPr>
          <w:p>
            <w:pPr>
              <w:spacing w:after="0"/>
            </w:pPr>
            <w:r>
              <w:rPr>
                <w:sz w:val="15"/>
              </w:rPr>
              <w:t>Update Issue current projection plus append IssueStatusEvent; resolution appends IssueResolution; audit in same logical mutation.</w:t>
            </w:r>
          </w:p>
        </w:tc>
      </w:tr>
      <w:tr>
        <w:tc>
          <w:tcPr>
            <w:tcW w:type="dxa" w:w="3456"/>
            <w:vAlign w:val="top"/>
          </w:tcPr>
          <w:p>
            <w:pPr>
              <w:spacing w:after="0"/>
            </w:pPr>
            <w:r>
              <w:rPr>
                <w:sz w:val="15"/>
              </w:rPr>
              <w:t>Inventory Close</w:t>
            </w:r>
          </w:p>
        </w:tc>
        <w:tc>
          <w:tcPr>
            <w:tcW w:type="dxa" w:w="3456"/>
            <w:vAlign w:val="top"/>
          </w:tcPr>
          <w:p>
            <w:pPr>
              <w:spacing w:after="0"/>
            </w:pPr>
            <w:r>
              <w:rPr>
                <w:sz w:val="15"/>
              </w:rPr>
              <w:t>Server PostgreSQL only</w:t>
            </w:r>
          </w:p>
        </w:tc>
        <w:tc>
          <w:tcPr>
            <w:tcW w:type="dxa" w:w="3456"/>
            <w:vAlign w:val="top"/>
          </w:tcPr>
          <w:p>
            <w:pPr>
              <w:spacing w:after="0"/>
            </w:pPr>
            <w:r>
              <w:rPr>
                <w:sz w:val="15"/>
              </w:rPr>
              <w:t>Revalidate all Close Guards; create FinalInventorySnapshot + all entries; set Campaign COMPLETED; append audit. Failure creates no partial snapshot.</w:t>
            </w:r>
          </w:p>
        </w:tc>
      </w:tr>
      <w:tr>
        <w:tc>
          <w:tcPr>
            <w:tcW w:type="dxa" w:w="3456"/>
            <w:vAlign w:val="top"/>
          </w:tcPr>
          <w:p>
            <w:pPr>
              <w:spacing w:after="0"/>
            </w:pPr>
            <w:r>
              <w:rPr>
                <w:sz w:val="15"/>
              </w:rPr>
              <w:t>Sync ACK/conflict</w:t>
            </w:r>
          </w:p>
        </w:tc>
        <w:tc>
          <w:tcPr>
            <w:tcW w:type="dxa" w:w="3456"/>
            <w:vAlign w:val="top"/>
          </w:tcPr>
          <w:p>
            <w:pPr>
              <w:spacing w:after="0"/>
            </w:pPr>
            <w:r>
              <w:rPr>
                <w:sz w:val="15"/>
              </w:rPr>
              <w:t>Room</w:t>
            </w:r>
          </w:p>
        </w:tc>
        <w:tc>
          <w:tcPr>
            <w:tcW w:type="dxa" w:w="3456"/>
            <w:vAlign w:val="top"/>
          </w:tcPr>
          <w:p>
            <w:pPr>
              <w:spacing w:after="0"/>
            </w:pPr>
            <w:r>
              <w:rPr>
                <w:sz w:val="15"/>
              </w:rPr>
              <w:t>ACK updates same SyncOperation; conflict stores SyncConflict and CONFLICT state atomically; no silent overwrite.</w:t>
            </w:r>
          </w:p>
        </w:tc>
      </w:tr>
    </w:tbl>
    <w:p>
      <w:pPr>
        <w:pStyle w:val="Heading1"/>
      </w:pPr>
      <w:r>
        <w:t>10. Stocktaking revision persistence</w:t>
      </w:r>
    </w:p>
    <w:p>
      <w:r>
        <w:t>StocktakingRecord is the stable Campaign×StorageSpace root. StocktakingRevision owns revision state. Validated revisions, their measurements, frozen calculation result and validated Evidence bindings are immutable.</w:t>
      </w:r>
    </w:p>
    <w:p>
      <w:r>
        <w:t>Working input changes stale the current calculation. Non-empty validation requires a fresh CalculationResult fingerprint. Reset Validation creates a new working revision and never edits prior validated history.</w:t>
      </w:r>
    </w:p>
    <w:p>
      <w:r>
        <w:t>Mark Empty is a VALIDATED revision with is_empty=true, zero measurements, zero volume/quantity and no Commodity, density, Ownership or Client requirement.</w:t>
      </w:r>
    </w:p>
    <w:p>
      <w:pPr>
        <w:pStyle w:val="Heading1"/>
      </w:pPr>
      <w:r>
        <w:t>11. Evidence persistence</w:t>
      </w:r>
    </w:p>
    <w:p>
      <w:r>
        <w:t>PHOTO binaries are never database BLOBs. PHOTO stores required metadata/hash/references; NOTE stores note text and no binary object.</w:t>
      </w:r>
    </w:p>
    <w:p>
      <w:r>
        <w:t>Stocktaking Evidence has a StocktakingRecord principal owner and may bind to the relevant revision. Once validated, that historical binding is immutable.</w:t>
      </w:r>
    </w:p>
    <w:p>
      <w:r>
        <w:t>The maximum-five-PHOTO rule is checked transactionally per StocktakingRevision and per Issue.</w:t>
      </w:r>
    </w:p>
    <w:p>
      <w:pPr>
        <w:pStyle w:val="Heading1"/>
      </w:pPr>
      <w:r>
        <w:t>12. Sync/outbox persistence</w:t>
      </w:r>
    </w:p>
    <w:p>
      <w:r>
        <w:t>Offline-capable business mutation + SyncOperation commit atomically in Room. Retry reuses the same operation/idempotency key. Dependencies are explicit rows.</w:t>
      </w:r>
    </w:p>
    <w:p>
      <w:r>
        <w:t>SyncConflict preserves local attempted and server-authoritative representations/version. No silent last-write-wins, force overwrite or automatic merge.</w:t>
      </w:r>
    </w:p>
    <w:p>
      <w:pPr>
        <w:pStyle w:val="Heading1"/>
      </w:pPr>
      <w:r>
        <w:t>13. Audit, notification and configuration persistence</w:t>
      </w:r>
    </w:p>
    <w:p>
      <w:r>
        <w:t>AuditEvent is append-only. JSONB is allowed for structured before/after/change metadata because it is an audit envelope; secrets and Evidence binaries are excluded.</w:t>
      </w:r>
    </w:p>
    <w:p>
      <w:r>
        <w:t>OrganizationConfiguration uses approved keys and typed value columns with discriminator CHECKs; arbitrary JSON is prohibited.</w:t>
      </w:r>
    </w:p>
    <w:p>
      <w:r>
        <w:t>Notification read state is mutable but is not audit history. Synchronized UserPreference is server-authoritative; presentation-only local preferences may be DataStore-owned.</w:t>
      </w:r>
    </w:p>
    <w:p>
      <w:pPr>
        <w:pStyle w:val="Heading1"/>
      </w:pPr>
      <w:r>
        <w:t>14. Room working-set boundary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Pr>
          <w:p>
            <w:r>
              <w:rPr>
                <w:b/>
              </w:rPr>
              <w:t>Category</w:t>
            </w:r>
          </w:p>
        </w:tc>
        <w:tc>
          <w:tcPr>
            <w:tcW w:type="dxa" w:w="5184"/>
            <w:vAlign w:val="center"/>
          </w:tcPr>
          <w:p>
            <w:r>
              <w:rPr>
                <w:b/>
              </w:rPr>
              <w:t>V6 rule</w:t>
            </w:r>
          </w:p>
        </w:tc>
      </w:tr>
      <w:tr>
        <w:tc>
          <w:tcPr>
            <w:tcW w:type="dxa" w:w="5184"/>
            <w:vAlign w:val="top"/>
          </w:tcPr>
          <w:p>
            <w:pPr>
              <w:spacing w:after="0"/>
            </w:pPr>
            <w:r>
              <w:rPr>
                <w:sz w:val="15"/>
              </w:rPr>
              <w:t>Always/typically local for authorized working set</w:t>
            </w:r>
          </w:p>
        </w:tc>
        <w:tc>
          <w:tcPr>
            <w:tcW w:type="dxa" w:w="5184"/>
            <w:vAlign w:val="top"/>
          </w:tcPr>
          <w:p>
            <w:pPr>
              <w:spacing w:after="0"/>
            </w:pPr>
            <w:r>
              <w:rPr>
                <w:sz w:val="15"/>
              </w:rPr>
              <w:t>Organizations/membership projection, campaign package/snapshot/scope/team, hierarchy, pinned geometry/commodity versions, stocktaking roots/revisions/measurements/calculations/issues/evidence metadata, outbox/dependencies/conflicts, device manifest.</w:t>
            </w:r>
          </w:p>
        </w:tc>
      </w:tr>
      <w:tr>
        <w:tc>
          <w:tcPr>
            <w:tcW w:type="dxa" w:w="5184"/>
            <w:vAlign w:val="top"/>
          </w:tcPr>
          <w:p>
            <w:pPr>
              <w:spacing w:after="0"/>
            </w:pPr>
            <w:r>
              <w:rPr>
                <w:sz w:val="15"/>
              </w:rPr>
              <w:t>Server-authoritative with selective local projection</w:t>
            </w:r>
          </w:p>
        </w:tc>
        <w:tc>
          <w:tcPr>
            <w:tcW w:type="dxa" w:w="5184"/>
            <w:vAlign w:val="top"/>
          </w:tcPr>
          <w:p>
            <w:pPr>
              <w:spacing w:after="0"/>
            </w:pPr>
            <w:r>
              <w:rPr>
                <w:sz w:val="15"/>
              </w:rPr>
              <w:t>Users, configuration, notifications, audit, final history, platform reference data.</w:t>
            </w:r>
          </w:p>
        </w:tc>
      </w:tr>
      <w:tr>
        <w:tc>
          <w:tcPr>
            <w:tcW w:type="dxa" w:w="5184"/>
            <w:vAlign w:val="top"/>
          </w:tcPr>
          <w:p>
            <w:pPr>
              <w:spacing w:after="0"/>
            </w:pPr>
            <w:r>
              <w:rPr>
                <w:sz w:val="15"/>
              </w:rPr>
              <w:t>Not Room business tables</w:t>
            </w:r>
          </w:p>
        </w:tc>
        <w:tc>
          <w:tcPr>
            <w:tcW w:type="dxa" w:w="5184"/>
            <w:vAlign w:val="top"/>
          </w:tcPr>
          <w:p>
            <w:pPr>
              <w:spacing w:after="0"/>
            </w:pPr>
            <w:r>
              <w:rPr>
                <w:sz w:val="15"/>
              </w:rPr>
              <w:t>Evidence image binaries; presentation-only preferences when DataStore is authoritative; derived UI models that can be queried/projected.</w:t>
            </w:r>
          </w:p>
        </w:tc>
      </w:tr>
      <w:tr>
        <w:tc>
          <w:tcPr>
            <w:tcW w:type="dxa" w:w="5184"/>
            <w:vAlign w:val="top"/>
          </w:tcPr>
          <w:p>
            <w:pPr>
              <w:spacing w:after="0"/>
            </w:pPr>
            <w:r>
              <w:rPr>
                <w:sz w:val="15"/>
              </w:rPr>
              <w:t>Never whole-tenant by default</w:t>
            </w:r>
          </w:p>
        </w:tc>
        <w:tc>
          <w:tcPr>
            <w:tcW w:type="dxa" w:w="5184"/>
            <w:vAlign w:val="top"/>
          </w:tcPr>
          <w:p>
            <w:pPr>
              <w:spacing w:after="0"/>
            </w:pPr>
            <w:r>
              <w:rPr>
                <w:sz w:val="15"/>
              </w:rPr>
              <w:t>Offline data is campaign-scoped. The local database must not imply arbitrary full-Organization replication.</w:t>
            </w:r>
          </w:p>
        </w:tc>
      </w:tr>
    </w:tbl>
    <w:p>
      <w:pPr>
        <w:pStyle w:val="Heading1"/>
      </w:pPr>
      <w:r>
        <w:t>15. Server-generated Campaign Code</w:t>
      </w:r>
    </w:p>
    <w:p>
      <w:r>
        <w:t>Official Campaign Code follows INV-YYYY-NNNN. Allocation is server-owned and atomic per Organization/year. The allocator and Campaign launch participate in the same Save &amp; Launch transaction. A Code is never reassigned to another Campaign.</w:t>
      </w:r>
    </w:p>
    <w:p>
      <w:pPr>
        <w:pStyle w:val="Heading1"/>
      </w:pPr>
      <w:r>
        <w:t>16. Inventory Close persistence</w:t>
      </w:r>
    </w:p>
    <w:p>
      <w:r>
        <w:t>Close is online and server-authoritative. One PostgreSQL transaction revalidates all Close Guards, creates exactly one FinalInventorySnapshot, creates exactly one entry for every scoped Storage Space, freezes required historical values/version IDs, transitions Campaign to COMPLETED and writes authoritative audit effects. Any failure rolls back the entire finalization.</w:t>
      </w:r>
    </w:p>
    <w:p>
      <w:pPr>
        <w:pStyle w:val="Heading1"/>
      </w:pPr>
      <w:r>
        <w:t>17. Immutability enforcement</w:t>
      </w:r>
    </w:p>
    <w:p>
      <w:r>
        <w:t>Repository/service authorization is reinforced with database permissions/triggers where appropriate. Application roles cannot semantically update immutable GeometryProfileVersion, CommodityVersion, CampaignSnapshot, validated Stocktaking history, FinalInventorySnapshot/Entry, IssueStatusEvent, IssueResolution or AuditEvent records.</w:t>
      </w:r>
    </w:p>
    <w:p>
      <w:pPr>
        <w:pStyle w:val="Heading1"/>
      </w:pPr>
      <w:r>
        <w:t>18. Migration and schema-version policy</w:t>
      </w:r>
    </w:p>
    <w:p>
      <w:pPr>
        <w:pStyle w:val="ListBullet"/>
        <w:spacing w:after="40"/>
      </w:pPr>
      <w:r>
        <w:t>Every schema change has an explicit version and tested migration; production never relies on destructive fallback.</w:t>
      </w:r>
    </w:p>
    <w:p>
      <w:pPr>
        <w:pStyle w:val="ListBullet"/>
        <w:spacing w:after="40"/>
      </w:pPr>
      <w:r>
        <w:t>Risky server changes use Expand → Migrate → Contract. Old and new app versions must remain compatible for the approved rollout window.</w:t>
      </w:r>
    </w:p>
    <w:p>
      <w:pPr>
        <w:pStyle w:val="ListBullet"/>
        <w:spacing w:after="40"/>
      </w:pPr>
      <w:r>
        <w:t>Room migrations are explicit and forward-only. Development-only destructive reset is never a production migration strategy.</w:t>
      </w:r>
    </w:p>
    <w:p>
      <w:pPr>
        <w:pStyle w:val="ListBullet"/>
        <w:spacing w:after="40"/>
      </w:pPr>
      <w:r>
        <w:t>New NOT NULL columns on populated tables are introduced through safe nullable/default/backfill/constraint sequencing.</w:t>
      </w:r>
    </w:p>
    <w:p>
      <w:pPr>
        <w:pStyle w:val="ListBullet"/>
        <w:spacing w:after="40"/>
      </w:pPr>
      <w:r>
        <w:t>Constraint/index creation on large server tables is planned to avoid unnecessary blocking; validation can be staged where PostgreSQL supports it.</w:t>
      </w:r>
    </w:p>
    <w:p>
      <w:pPr>
        <w:pStyle w:val="ListBullet"/>
        <w:spacing w:after="40"/>
      </w:pPr>
      <w:r>
        <w:t>Immutable snapshot/version semantics are preserved during migrations; migrations may transform representation but never reinterpret completed history.</w:t>
      </w:r>
    </w:p>
    <w:p>
      <w:pPr>
        <w:pStyle w:val="ListBullet"/>
        <w:spacing w:after="40"/>
      </w:pPr>
      <w:r>
        <w:t>Numeric migrations preserve exact decimal values and six-decimal persistence rules; conversion through floating-point is prohibited.</w:t>
      </w:r>
    </w:p>
    <w:p>
      <w:pPr>
        <w:pStyle w:val="ListBullet"/>
        <w:spacing w:after="40"/>
      </w:pPr>
      <w:r>
        <w:t>Migration verification includes row counts, orphan checks, uniqueness checks, tenant-crossing checks, snapshot coverage, and representative calculation fingerprints.</w:t>
      </w:r>
    </w:p>
    <w:p>
      <w:pPr>
        <w:pStyle w:val="ListBullet"/>
        <w:spacing w:after="40"/>
      </w:pPr>
      <w:r>
        <w:t>Before relevant risky production migrations/releases, a backup is taken; rollback strategy is operational, while data migrations themselves remain forward-safe.</w:t>
      </w:r>
    </w:p>
    <w:p>
      <w:pPr>
        <w:pStyle w:val="Heading1"/>
      </w:pPr>
      <w:r>
        <w:t>19. Retention-aware physical behavior</w:t>
      </w:r>
    </w:p>
    <w:p>
      <w:pPr>
        <w:pStyle w:val="ListBullet"/>
        <w:spacing w:after="40"/>
      </w:pPr>
      <w:r>
        <w:t>Final snapshots, Campaign snapshots, critical audit, validated/final Evidence metadata and Issue history remain interpretable for the frozen long-term retention period.</w:t>
      </w:r>
    </w:p>
    <w:p>
      <w:pPr>
        <w:pStyle w:val="ListBullet"/>
        <w:spacing w:after="40"/>
      </w:pPr>
      <w:r>
        <w:t>Historically referenced master data is preserved by lifecycle state, not destructive deletion.</w:t>
      </w:r>
    </w:p>
    <w:p>
      <w:pPr>
        <w:pStyle w:val="ListBullet"/>
        <w:spacing w:after="40"/>
      </w:pPr>
      <w:r>
        <w:t>Notifications and acknowledged sync diagnostics may expire only under approved retention.</w:t>
      </w:r>
    </w:p>
    <w:p>
      <w:pPr>
        <w:pStyle w:val="ListBullet"/>
        <w:spacing w:after="40"/>
      </w:pPr>
      <w:r>
        <w:t>Local cleanup never deletes unsynchronized work or the only durable copy of required Evidence.</w:t>
      </w:r>
    </w:p>
    <w:p>
      <w:pPr>
        <w:pStyle w:val="Heading1"/>
      </w:pPr>
      <w:r>
        <w:t>20. Read models and projections</w:t>
      </w:r>
    </w:p>
    <w:p>
      <w:r>
        <w:t>Dashboard, Stocktaking classifications, Sync Status, reports, Inventory History, Dossier and Audit Trail presentation are read models. Views/materialized views and Room projections are permitted, but rebuildable and non-authoritative.</w:t>
      </w:r>
    </w:p>
    <w:p>
      <w:pPr>
        <w:pStyle w:val="Heading1"/>
      </w:pPr>
      <w:r>
        <w:t>21. Physical-schema acceptance criteria</w:t>
      </w:r>
    </w:p>
    <w:p>
      <w:pPr>
        <w:pStyle w:val="ListBullet"/>
        <w:spacing w:after="40"/>
      </w:pPr>
      <w:r>
        <w:t>DB-AC01 — All 35 authoritative logical entities/records are mapped or explicitly represented as approved child/embedded structures.</w:t>
      </w:r>
    </w:p>
    <w:p>
      <w:pPr>
        <w:pStyle w:val="ListBullet"/>
        <w:spacing w:after="40"/>
      </w:pPr>
      <w:r>
        <w:t>DB-AC02 — UUID identity remains independent of business Codes.</w:t>
      </w:r>
    </w:p>
    <w:p>
      <w:pPr>
        <w:pStyle w:val="ListBullet"/>
        <w:spacing w:after="40"/>
      </w:pPr>
      <w:r>
        <w:t>DB-AC03 — Tenant-sensitive references cannot silently cross Organizations.</w:t>
      </w:r>
    </w:p>
    <w:p>
      <w:pPr>
        <w:pStyle w:val="ListBullet"/>
        <w:spacing w:after="40"/>
      </w:pPr>
      <w:r>
        <w:t>DB-AC04 — No destructive cascade can invalidate historical interpretation.</w:t>
      </w:r>
    </w:p>
    <w:p>
      <w:pPr>
        <w:pStyle w:val="ListBullet"/>
        <w:spacing w:after="40"/>
      </w:pPr>
      <w:r>
        <w:t>DB-AC05 — Frozen uniqueness rules have physical or transactionally equivalent enforcement.</w:t>
      </w:r>
    </w:p>
    <w:p>
      <w:pPr>
        <w:pStyle w:val="ListBullet"/>
        <w:spacing w:after="40"/>
      </w:pPr>
      <w:r>
        <w:t>DB-AC06 — Official decimals are exact and never persisted through SQLite REAL.</w:t>
      </w:r>
    </w:p>
    <w:p>
      <w:pPr>
        <w:pStyle w:val="ListBullet"/>
        <w:spacing w:after="40"/>
      </w:pPr>
      <w:r>
        <w:t>DB-AC07 — Geometry/Commodity versions and snapshots preserve immutable historical meaning.</w:t>
      </w:r>
    </w:p>
    <w:p>
      <w:pPr>
        <w:pStyle w:val="ListBullet"/>
        <w:spacing w:after="40"/>
      </w:pPr>
      <w:r>
        <w:t>DB-AC08 — Save &amp; Launch and Close are atomic server persistence boundaries.</w:t>
      </w:r>
    </w:p>
    <w:p>
      <w:pPr>
        <w:pStyle w:val="ListBullet"/>
        <w:spacing w:after="40"/>
      </w:pPr>
      <w:r>
        <w:t>DB-AC09 — Stocktaking revision/reset/validation preserves every validated revision.</w:t>
      </w:r>
    </w:p>
    <w:p>
      <w:pPr>
        <w:pStyle w:val="ListBullet"/>
        <w:spacing w:after="40"/>
      </w:pPr>
      <w:r>
        <w:t>DB-AC10 — Evidence owner/type/photo-limit/binary-separation rules are enforceable.</w:t>
      </w:r>
    </w:p>
    <w:p>
      <w:pPr>
        <w:pStyle w:val="ListBullet"/>
        <w:spacing w:after="40"/>
      </w:pPr>
      <w:r>
        <w:t>DB-AC11 — Offline business writes and outbox writes are atomic.</w:t>
      </w:r>
    </w:p>
    <w:p>
      <w:pPr>
        <w:pStyle w:val="ListBullet"/>
        <w:spacing w:after="40"/>
      </w:pPr>
      <w:r>
        <w:t>DB-AC12 — Sync retry/idempotency/dependency/conflict persistence cannot produce silent last-write-wins.</w:t>
      </w:r>
    </w:p>
    <w:p>
      <w:pPr>
        <w:pStyle w:val="ListBullet"/>
        <w:spacing w:after="40"/>
      </w:pPr>
      <w:r>
        <w:t>DB-AC13 — Audit is append-only and excludes secrets/binary Evidence.</w:t>
      </w:r>
    </w:p>
    <w:p>
      <w:pPr>
        <w:pStyle w:val="ListBullet"/>
        <w:spacing w:after="40"/>
      </w:pPr>
      <w:r>
        <w:t>DB-AC14 — Room contains only authorized/scoped offline data plus required technical state.</w:t>
      </w:r>
    </w:p>
    <w:p>
      <w:pPr>
        <w:pStyle w:val="ListBullet"/>
        <w:spacing w:after="40"/>
      </w:pPr>
      <w:r>
        <w:t>DB-AC15 — Production migrations are forward-safe and preserve completed history.</w:t>
      </w:r>
    </w:p>
    <w:p>
      <w:pPr>
        <w:pStyle w:val="ListBullet"/>
        <w:spacing w:after="40"/>
      </w:pPr>
      <w:r>
        <w:t>DB-AC16 — DB-D01–DB-D64 are represented without unresolved physical-schema decisions.</w:t>
      </w:r>
    </w:p>
    <w:p>
      <w:pPr>
        <w:pStyle w:val="Heading1"/>
      </w:pPr>
      <w:r>
        <w:t>22. Frozen physical-schema decision register — DB-D01–DB-D64</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Pr>
          <w:p>
            <w:r>
              <w:rPr>
                <w:b/>
              </w:rPr>
              <w:t>ID</w:t>
            </w:r>
          </w:p>
        </w:tc>
        <w:tc>
          <w:tcPr>
            <w:tcW w:type="dxa" w:w="5184"/>
            <w:vAlign w:val="center"/>
          </w:tcPr>
          <w:p>
            <w:r>
              <w:rPr>
                <w:b/>
              </w:rPr>
              <w:t>Approved V6 decision</w:t>
            </w:r>
          </w:p>
        </w:tc>
      </w:tr>
      <w:tr>
        <w:tc>
          <w:tcPr>
            <w:tcW w:type="dxa" w:w="5184"/>
            <w:vAlign w:val="top"/>
          </w:tcPr>
          <w:p>
            <w:pPr>
              <w:spacing w:after="0"/>
            </w:pPr>
            <w:r>
              <w:rPr>
                <w:sz w:val="15"/>
              </w:rPr>
              <w:t>DB-D01</w:t>
            </w:r>
          </w:p>
        </w:tc>
        <w:tc>
          <w:tcPr>
            <w:tcW w:type="dxa" w:w="5184"/>
            <w:vAlign w:val="top"/>
          </w:tcPr>
          <w:p>
            <w:pPr>
              <w:spacing w:after="0"/>
            </w:pPr>
            <w:r>
              <w:rPr>
                <w:sz w:val="15"/>
              </w:rPr>
              <w:t>PostgreSQL business tables use schema `silomath`, not `public`.</w:t>
            </w:r>
          </w:p>
        </w:tc>
      </w:tr>
      <w:tr>
        <w:tc>
          <w:tcPr>
            <w:tcW w:type="dxa" w:w="5184"/>
            <w:vAlign w:val="top"/>
          </w:tcPr>
          <w:p>
            <w:pPr>
              <w:spacing w:after="0"/>
            </w:pPr>
            <w:r>
              <w:rPr>
                <w:sz w:val="15"/>
              </w:rPr>
              <w:t>DB-D02</w:t>
            </w:r>
          </w:p>
        </w:tc>
        <w:tc>
          <w:tcPr>
            <w:tcW w:type="dxa" w:w="5184"/>
            <w:vAlign w:val="top"/>
          </w:tcPr>
          <w:p>
            <w:pPr>
              <w:spacing w:after="0"/>
            </w:pPr>
            <w:r>
              <w:rPr>
                <w:sz w:val="15"/>
              </w:rPr>
              <w:t>SQL naming is `snake_case`; tables are plural; Room table/column names mirror SQL names where practical.</w:t>
            </w:r>
          </w:p>
        </w:tc>
      </w:tr>
      <w:tr>
        <w:tc>
          <w:tcPr>
            <w:tcW w:type="dxa" w:w="5184"/>
            <w:vAlign w:val="top"/>
          </w:tcPr>
          <w:p>
            <w:pPr>
              <w:spacing w:after="0"/>
            </w:pPr>
            <w:r>
              <w:rPr>
                <w:sz w:val="15"/>
              </w:rPr>
              <w:t>DB-D03</w:t>
            </w:r>
          </w:p>
        </w:tc>
        <w:tc>
          <w:tcPr>
            <w:tcW w:type="dxa" w:w="5184"/>
            <w:vAlign w:val="top"/>
          </w:tcPr>
          <w:p>
            <w:pPr>
              <w:spacing w:after="0"/>
            </w:pPr>
            <w:r>
              <w:rPr>
                <w:sz w:val="15"/>
              </w:rPr>
              <w:t>Canonical UUID IDs use PostgreSQL `UUID`; Room persists them as canonical lowercase UUID `TEXT`.</w:t>
            </w:r>
          </w:p>
        </w:tc>
      </w:tr>
      <w:tr>
        <w:tc>
          <w:tcPr>
            <w:tcW w:type="dxa" w:w="5184"/>
            <w:vAlign w:val="top"/>
          </w:tcPr>
          <w:p>
            <w:pPr>
              <w:spacing w:after="0"/>
            </w:pPr>
            <w:r>
              <w:rPr>
                <w:sz w:val="15"/>
              </w:rPr>
              <w:t>DB-D04</w:t>
            </w:r>
          </w:p>
        </w:tc>
        <w:tc>
          <w:tcPr>
            <w:tcW w:type="dxa" w:w="5184"/>
            <w:vAlign w:val="top"/>
          </w:tcPr>
          <w:p>
            <w:pPr>
              <w:spacing w:after="0"/>
            </w:pPr>
            <w:r>
              <w:rPr>
                <w:sz w:val="15"/>
              </w:rPr>
              <w:t>Offline-capable identities are generated before local insert; strictly server-created identities may be server-generated. Campaign Code is always separate and server-generated.</w:t>
            </w:r>
          </w:p>
        </w:tc>
      </w:tr>
      <w:tr>
        <w:tc>
          <w:tcPr>
            <w:tcW w:type="dxa" w:w="5184"/>
            <w:vAlign w:val="top"/>
          </w:tcPr>
          <w:p>
            <w:pPr>
              <w:spacing w:after="0"/>
            </w:pPr>
            <w:r>
              <w:rPr>
                <w:sz w:val="15"/>
              </w:rPr>
              <w:t>DB-D05</w:t>
            </w:r>
          </w:p>
        </w:tc>
        <w:tc>
          <w:tcPr>
            <w:tcW w:type="dxa" w:w="5184"/>
            <w:vAlign w:val="top"/>
          </w:tcPr>
          <w:p>
            <w:pPr>
              <w:spacing w:after="0"/>
            </w:pPr>
            <w:r>
              <w:rPr>
                <w:sz w:val="15"/>
              </w:rPr>
              <w:t>Enums persist as stable uppercase text codes with CHECK constraints; PostgreSQL native ENUM is not used.</w:t>
            </w:r>
          </w:p>
        </w:tc>
      </w:tr>
      <w:tr>
        <w:tc>
          <w:tcPr>
            <w:tcW w:type="dxa" w:w="5184"/>
            <w:vAlign w:val="top"/>
          </w:tcPr>
          <w:p>
            <w:pPr>
              <w:spacing w:after="0"/>
            </w:pPr>
            <w:r>
              <w:rPr>
                <w:sz w:val="15"/>
              </w:rPr>
              <w:t>DB-D06</w:t>
            </w:r>
          </w:p>
        </w:tc>
        <w:tc>
          <w:tcPr>
            <w:tcW w:type="dxa" w:w="5184"/>
            <w:vAlign w:val="top"/>
          </w:tcPr>
          <w:p>
            <w:pPr>
              <w:spacing w:after="0"/>
            </w:pPr>
            <w:r>
              <w:rPr>
                <w:sz w:val="15"/>
              </w:rPr>
              <w:t>UTC instants use PostgreSQL `TIMESTAMPTZ`; Room uses epoch-millisecond `INTEGER`.</w:t>
            </w:r>
          </w:p>
        </w:tc>
      </w:tr>
      <w:tr>
        <w:tc>
          <w:tcPr>
            <w:tcW w:type="dxa" w:w="5184"/>
            <w:vAlign w:val="top"/>
          </w:tcPr>
          <w:p>
            <w:pPr>
              <w:spacing w:after="0"/>
            </w:pPr>
            <w:r>
              <w:rPr>
                <w:sz w:val="15"/>
              </w:rPr>
              <w:t>DB-D07</w:t>
            </w:r>
          </w:p>
        </w:tc>
        <w:tc>
          <w:tcPr>
            <w:tcW w:type="dxa" w:w="5184"/>
            <w:vAlign w:val="top"/>
          </w:tcPr>
          <w:p>
            <w:pPr>
              <w:spacing w:after="0"/>
            </w:pPr>
            <w:r>
              <w:rPr>
                <w:sz w:val="15"/>
              </w:rPr>
              <w:t>Date-only values use PostgreSQL `DATE`; Room uses ISO `YYYY-MM-DD` `TEXT`, with no timezone conversion.</w:t>
            </w:r>
          </w:p>
        </w:tc>
      </w:tr>
      <w:tr>
        <w:tc>
          <w:tcPr>
            <w:tcW w:type="dxa" w:w="5184"/>
            <w:vAlign w:val="top"/>
          </w:tcPr>
          <w:p>
            <w:pPr>
              <w:spacing w:after="0"/>
            </w:pPr>
            <w:r>
              <w:rPr>
                <w:sz w:val="15"/>
              </w:rPr>
              <w:t>DB-D08</w:t>
            </w:r>
          </w:p>
        </w:tc>
        <w:tc>
          <w:tcPr>
            <w:tcW w:type="dxa" w:w="5184"/>
            <w:vAlign w:val="top"/>
          </w:tcPr>
          <w:p>
            <w:pPr>
              <w:spacing w:after="0"/>
            </w:pPr>
            <w:r>
              <w:rPr>
                <w:sz w:val="15"/>
              </w:rPr>
              <w:t>Official deterministic decimal values use PostgreSQL `NUMERIC(20,6)` where the numeric contract applies; Room stores canonical decimal `TEXT`, never `REAL`.</w:t>
            </w:r>
          </w:p>
        </w:tc>
      </w:tr>
      <w:tr>
        <w:tc>
          <w:tcPr>
            <w:tcW w:type="dxa" w:w="5184"/>
            <w:vAlign w:val="top"/>
          </w:tcPr>
          <w:p>
            <w:pPr>
              <w:spacing w:after="0"/>
            </w:pPr>
            <w:r>
              <w:rPr>
                <w:sz w:val="15"/>
              </w:rPr>
              <w:t>DB-D09</w:t>
            </w:r>
          </w:p>
        </w:tc>
        <w:tc>
          <w:tcPr>
            <w:tcW w:type="dxa" w:w="5184"/>
            <w:vAlign w:val="top"/>
          </w:tcPr>
          <w:p>
            <w:pPr>
              <w:spacing w:after="0"/>
            </w:pPr>
            <w:r>
              <w:rPr>
                <w:sz w:val="15"/>
              </w:rPr>
              <w:t>`entity_version` uses PostgreSQL `BIGINT NOT NULL`, initially 1; Room uses `INTEGER NOT NULL`.</w:t>
            </w:r>
          </w:p>
        </w:tc>
      </w:tr>
      <w:tr>
        <w:tc>
          <w:tcPr>
            <w:tcW w:type="dxa" w:w="5184"/>
            <w:vAlign w:val="top"/>
          </w:tcPr>
          <w:p>
            <w:pPr>
              <w:spacing w:after="0"/>
            </w:pPr>
            <w:r>
              <w:rPr>
                <w:sz w:val="15"/>
              </w:rPr>
              <w:t>DB-D10</w:t>
            </w:r>
          </w:p>
        </w:tc>
        <w:tc>
          <w:tcPr>
            <w:tcW w:type="dxa" w:w="5184"/>
            <w:vAlign w:val="top"/>
          </w:tcPr>
          <w:p>
            <w:pPr>
              <w:spacing w:after="0"/>
            </w:pPr>
            <w:r>
              <w:rPr>
                <w:sz w:val="15"/>
              </w:rPr>
              <w:t>Boolean uses PostgreSQL `BOOLEAN`; Room uses constrained integer 0/1.</w:t>
            </w:r>
          </w:p>
        </w:tc>
      </w:tr>
      <w:tr>
        <w:tc>
          <w:tcPr>
            <w:tcW w:type="dxa" w:w="5184"/>
            <w:vAlign w:val="top"/>
          </w:tcPr>
          <w:p>
            <w:pPr>
              <w:spacing w:after="0"/>
            </w:pPr>
            <w:r>
              <w:rPr>
                <w:sz w:val="15"/>
              </w:rPr>
              <w:t>DB-D11</w:t>
            </w:r>
          </w:p>
        </w:tc>
        <w:tc>
          <w:tcPr>
            <w:tcW w:type="dxa" w:w="5184"/>
            <w:vAlign w:val="top"/>
          </w:tcPr>
          <w:p>
            <w:pPr>
              <w:spacing w:after="0"/>
            </w:pPr>
            <w:r>
              <w:rPr>
                <w:sz w:val="15"/>
              </w:rPr>
              <w:t>SHA-256 is stored as lowercase 64-character hexadecimal text with format validation.</w:t>
            </w:r>
          </w:p>
        </w:tc>
      </w:tr>
      <w:tr>
        <w:tc>
          <w:tcPr>
            <w:tcW w:type="dxa" w:w="5184"/>
            <w:vAlign w:val="top"/>
          </w:tcPr>
          <w:p>
            <w:pPr>
              <w:spacing w:after="0"/>
            </w:pPr>
            <w:r>
              <w:rPr>
                <w:sz w:val="15"/>
              </w:rPr>
              <w:t>DB-D12</w:t>
            </w:r>
          </w:p>
        </w:tc>
        <w:tc>
          <w:tcPr>
            <w:tcW w:type="dxa" w:w="5184"/>
            <w:vAlign w:val="top"/>
          </w:tcPr>
          <w:p>
            <w:pPr>
              <w:spacing w:after="0"/>
            </w:pPr>
            <w:r>
              <w:rPr>
                <w:sz w:val="15"/>
              </w:rPr>
              <w:t>Contractual text maxima are enforced physically; unbounded contractual text uses `TEXT`.</w:t>
            </w:r>
          </w:p>
        </w:tc>
      </w:tr>
      <w:tr>
        <w:tc>
          <w:tcPr>
            <w:tcW w:type="dxa" w:w="5184"/>
            <w:vAlign w:val="top"/>
          </w:tcPr>
          <w:p>
            <w:pPr>
              <w:spacing w:after="0"/>
            </w:pPr>
            <w:r>
              <w:rPr>
                <w:sz w:val="15"/>
              </w:rPr>
              <w:t>DB-D13</w:t>
            </w:r>
          </w:p>
        </w:tc>
        <w:tc>
          <w:tcPr>
            <w:tcW w:type="dxa" w:w="5184"/>
            <w:vAlign w:val="top"/>
          </w:tcPr>
          <w:p>
            <w:pPr>
              <w:spacing w:after="0"/>
            </w:pPr>
            <w:r>
              <w:rPr>
                <w:sz w:val="15"/>
              </w:rPr>
              <w:t>Each authoritative table uses its stable technical UUID as PK; business Code is never a PK/FK.</w:t>
            </w:r>
          </w:p>
        </w:tc>
      </w:tr>
      <w:tr>
        <w:tc>
          <w:tcPr>
            <w:tcW w:type="dxa" w:w="5184"/>
            <w:vAlign w:val="top"/>
          </w:tcPr>
          <w:p>
            <w:pPr>
              <w:spacing w:after="0"/>
            </w:pPr>
            <w:r>
              <w:rPr>
                <w:sz w:val="15"/>
              </w:rPr>
              <w:t>DB-D14</w:t>
            </w:r>
          </w:p>
        </w:tc>
        <w:tc>
          <w:tcPr>
            <w:tcW w:type="dxa" w:w="5184"/>
            <w:vAlign w:val="top"/>
          </w:tcPr>
          <w:p>
            <w:pPr>
              <w:spacing w:after="0"/>
            </w:pPr>
            <w:r>
              <w:rPr>
                <w:sz w:val="15"/>
              </w:rPr>
              <w:t>Historical/business FKs default to `ON DELETE RESTRICT/NO ACTION` and `ON UPDATE NO ACTION`.</w:t>
            </w:r>
          </w:p>
        </w:tc>
      </w:tr>
      <w:tr>
        <w:tc>
          <w:tcPr>
            <w:tcW w:type="dxa" w:w="5184"/>
            <w:vAlign w:val="top"/>
          </w:tcPr>
          <w:p>
            <w:pPr>
              <w:spacing w:after="0"/>
            </w:pPr>
            <w:r>
              <w:rPr>
                <w:sz w:val="15"/>
              </w:rPr>
              <w:t>DB-D15</w:t>
            </w:r>
          </w:p>
        </w:tc>
        <w:tc>
          <w:tcPr>
            <w:tcW w:type="dxa" w:w="5184"/>
            <w:vAlign w:val="top"/>
          </w:tcPr>
          <w:p>
            <w:pPr>
              <w:spacing w:after="0"/>
            </w:pPr>
            <w:r>
              <w:rPr>
                <w:sz w:val="15"/>
              </w:rPr>
              <w:t>No destructive `ON DELETE CASCADE` is used for business/history aggregates; technical cleanup may cascade only when later retention rules explicitly allow it.</w:t>
            </w:r>
          </w:p>
        </w:tc>
      </w:tr>
      <w:tr>
        <w:tc>
          <w:tcPr>
            <w:tcW w:type="dxa" w:w="5184"/>
            <w:vAlign w:val="top"/>
          </w:tcPr>
          <w:p>
            <w:pPr>
              <w:spacing w:after="0"/>
            </w:pPr>
            <w:r>
              <w:rPr>
                <w:sz w:val="15"/>
              </w:rPr>
              <w:t>DB-D16</w:t>
            </w:r>
          </w:p>
        </w:tc>
        <w:tc>
          <w:tcPr>
            <w:tcW w:type="dxa" w:w="5184"/>
            <w:vAlign w:val="top"/>
          </w:tcPr>
          <w:p>
            <w:pPr>
              <w:spacing w:after="0"/>
            </w:pPr>
            <w:r>
              <w:rPr>
                <w:sz w:val="15"/>
              </w:rPr>
              <w:t>Tenant tables carry direct `organization_id` where natural/useful; strict children may inherit unambiguous tenant scope through an immutable parent chain.</w:t>
            </w:r>
          </w:p>
        </w:tc>
      </w:tr>
      <w:tr>
        <w:tc>
          <w:tcPr>
            <w:tcW w:type="dxa" w:w="5184"/>
            <w:vAlign w:val="top"/>
          </w:tcPr>
          <w:p>
            <w:pPr>
              <w:spacing w:after="0"/>
            </w:pPr>
            <w:r>
              <w:rPr>
                <w:sz w:val="15"/>
              </w:rPr>
              <w:t>DB-D17</w:t>
            </w:r>
          </w:p>
        </w:tc>
        <w:tc>
          <w:tcPr>
            <w:tcW w:type="dxa" w:w="5184"/>
            <w:vAlign w:val="top"/>
          </w:tcPr>
          <w:p>
            <w:pPr>
              <w:spacing w:after="0"/>
            </w:pPr>
            <w:r>
              <w:rPr>
                <w:sz w:val="15"/>
              </w:rPr>
              <w:t>Where practical, tenant parent-child integrity is reinforced with composite `(organization_id, parent_id)` FKs.</w:t>
            </w:r>
          </w:p>
        </w:tc>
      </w:tr>
      <w:tr>
        <w:tc>
          <w:tcPr>
            <w:tcW w:type="dxa" w:w="5184"/>
            <w:vAlign w:val="top"/>
          </w:tcPr>
          <w:p>
            <w:pPr>
              <w:spacing w:after="0"/>
            </w:pPr>
            <w:r>
              <w:rPr>
                <w:sz w:val="15"/>
              </w:rPr>
              <w:t>DB-D18</w:t>
            </w:r>
          </w:p>
        </w:tc>
        <w:tc>
          <w:tcPr>
            <w:tcW w:type="dxa" w:w="5184"/>
            <w:vAlign w:val="top"/>
          </w:tcPr>
          <w:p>
            <w:pPr>
              <w:spacing w:after="0"/>
            </w:pPr>
            <w:r>
              <w:rPr>
                <w:sz w:val="15"/>
              </w:rPr>
              <w:t>Platform-governed global reference data does not receive artificial `organization_id`.</w:t>
            </w:r>
          </w:p>
        </w:tc>
      </w:tr>
      <w:tr>
        <w:tc>
          <w:tcPr>
            <w:tcW w:type="dxa" w:w="5184"/>
            <w:vAlign w:val="top"/>
          </w:tcPr>
          <w:p>
            <w:pPr>
              <w:spacing w:after="0"/>
            </w:pPr>
            <w:r>
              <w:rPr>
                <w:sz w:val="15"/>
              </w:rPr>
              <w:t>DB-D19</w:t>
            </w:r>
          </w:p>
        </w:tc>
        <w:tc>
          <w:tcPr>
            <w:tcW w:type="dxa" w:w="5184"/>
            <w:vAlign w:val="top"/>
          </w:tcPr>
          <w:p>
            <w:pPr>
              <w:spacing w:after="0"/>
            </w:pPr>
            <w:r>
              <w:rPr>
                <w:sz w:val="15"/>
              </w:rPr>
              <w:t>No generic `deleted_at` exists for business/master/history data; approved lifecycle states govern deactivation.</w:t>
            </w:r>
          </w:p>
        </w:tc>
      </w:tr>
      <w:tr>
        <w:tc>
          <w:tcPr>
            <w:tcW w:type="dxa" w:w="5184"/>
            <w:vAlign w:val="top"/>
          </w:tcPr>
          <w:p>
            <w:pPr>
              <w:spacing w:after="0"/>
            </w:pPr>
            <w:r>
              <w:rPr>
                <w:sz w:val="15"/>
              </w:rPr>
              <w:t>DB-D20</w:t>
            </w:r>
          </w:p>
        </w:tc>
        <w:tc>
          <w:tcPr>
            <w:tcW w:type="dxa" w:w="5184"/>
            <w:vAlign w:val="top"/>
          </w:tcPr>
          <w:p>
            <w:pPr>
              <w:spacing w:after="0"/>
            </w:pPr>
            <w:r>
              <w:rPr>
                <w:sz w:val="15"/>
              </w:rPr>
              <w:t>Immutable snapshots, versions and append-only events cannot be removed through business FK cascades or repointed to current master data.</w:t>
            </w:r>
          </w:p>
        </w:tc>
      </w:tr>
      <w:tr>
        <w:tc>
          <w:tcPr>
            <w:tcW w:type="dxa" w:w="5184"/>
            <w:vAlign w:val="top"/>
          </w:tcPr>
          <w:p>
            <w:pPr>
              <w:spacing w:after="0"/>
            </w:pPr>
            <w:r>
              <w:rPr>
                <w:sz w:val="15"/>
              </w:rPr>
              <w:t>DB-D21</w:t>
            </w:r>
          </w:p>
        </w:tc>
        <w:tc>
          <w:tcPr>
            <w:tcW w:type="dxa" w:w="5184"/>
            <w:vAlign w:val="top"/>
          </w:tcPr>
          <w:p>
            <w:pPr>
              <w:spacing w:after="0"/>
            </w:pPr>
            <w:r>
              <w:rPr>
                <w:sz w:val="15"/>
              </w:rPr>
              <w:t>Master Codes are normalized with trim + uppercase before persistence and constrained to canonical form.</w:t>
            </w:r>
          </w:p>
        </w:tc>
      </w:tr>
      <w:tr>
        <w:tc>
          <w:tcPr>
            <w:tcW w:type="dxa" w:w="5184"/>
            <w:vAlign w:val="top"/>
          </w:tcPr>
          <w:p>
            <w:pPr>
              <w:spacing w:after="0"/>
            </w:pPr>
            <w:r>
              <w:rPr>
                <w:sz w:val="15"/>
              </w:rPr>
              <w:t>DB-D22</w:t>
            </w:r>
          </w:p>
        </w:tc>
        <w:tc>
          <w:tcPr>
            <w:tcW w:type="dxa" w:w="5184"/>
            <w:vAlign w:val="top"/>
          </w:tcPr>
          <w:p>
            <w:pPr>
              <w:spacing w:after="0"/>
            </w:pPr>
            <w:r>
              <w:rPr>
                <w:sz w:val="15"/>
              </w:rPr>
              <w:t>Code uniqueness follows the frozen logical scope: Organization global provisioning scope; Location per Organization; Storage Unit per Location; Storage Space per Storage Unit; Client and Geometry Profile per Organization.</w:t>
            </w:r>
          </w:p>
        </w:tc>
      </w:tr>
      <w:tr>
        <w:tc>
          <w:tcPr>
            <w:tcW w:type="dxa" w:w="5184"/>
            <w:vAlign w:val="top"/>
          </w:tcPr>
          <w:p>
            <w:pPr>
              <w:spacing w:after="0"/>
            </w:pPr>
            <w:r>
              <w:rPr>
                <w:sz w:val="15"/>
              </w:rPr>
              <w:t>DB-D23</w:t>
            </w:r>
          </w:p>
        </w:tc>
        <w:tc>
          <w:tcPr>
            <w:tcW w:type="dxa" w:w="5184"/>
            <w:vAlign w:val="top"/>
          </w:tcPr>
          <w:p>
            <w:pPr>
              <w:spacing w:after="0"/>
            </w:pPr>
            <w:r>
              <w:rPr>
                <w:sz w:val="15"/>
              </w:rPr>
              <w:t>Email uses persisted canonical `email_normalized` and a unique constraint; uniqueness never depends on database collation defaults.</w:t>
            </w:r>
          </w:p>
        </w:tc>
      </w:tr>
      <w:tr>
        <w:tc>
          <w:tcPr>
            <w:tcW w:type="dxa" w:w="5184"/>
            <w:vAlign w:val="top"/>
          </w:tcPr>
          <w:p>
            <w:pPr>
              <w:spacing w:after="0"/>
            </w:pPr>
            <w:r>
              <w:rPr>
                <w:sz w:val="15"/>
              </w:rPr>
              <w:t>DB-D24</w:t>
            </w:r>
          </w:p>
        </w:tc>
        <w:tc>
          <w:tcPr>
            <w:tcW w:type="dxa" w:w="5184"/>
            <w:vAlign w:val="top"/>
          </w:tcPr>
          <w:p>
            <w:pPr>
              <w:spacing w:after="0"/>
            </w:pPr>
            <w:r>
              <w:rPr>
                <w:sz w:val="15"/>
              </w:rPr>
              <w:t>Campaign Code is unique within Organization/year; allocator state guarantees atomic `INV-YYYY-NNNN` issuance.</w:t>
            </w:r>
          </w:p>
        </w:tc>
      </w:tr>
      <w:tr>
        <w:tc>
          <w:tcPr>
            <w:tcW w:type="dxa" w:w="5184"/>
            <w:vAlign w:val="top"/>
          </w:tcPr>
          <w:p>
            <w:pPr>
              <w:spacing w:after="0"/>
            </w:pPr>
            <w:r>
              <w:rPr>
                <w:sz w:val="15"/>
              </w:rPr>
              <w:t>DB-D25</w:t>
            </w:r>
          </w:p>
        </w:tc>
        <w:tc>
          <w:tcPr>
            <w:tcW w:type="dxa" w:w="5184"/>
            <w:vAlign w:val="top"/>
          </w:tcPr>
          <w:p>
            <w:pPr>
              <w:spacing w:after="0"/>
            </w:pPr>
            <w:r>
              <w:rPr>
                <w:sz w:val="15"/>
              </w:rPr>
              <w:t>OrganizationMembership is unique per `(organization_id,user_id)` and reactivation reuses the same row.</w:t>
            </w:r>
          </w:p>
        </w:tc>
      </w:tr>
      <w:tr>
        <w:tc>
          <w:tcPr>
            <w:tcW w:type="dxa" w:w="5184"/>
            <w:vAlign w:val="top"/>
          </w:tcPr>
          <w:p>
            <w:pPr>
              <w:spacing w:after="0"/>
            </w:pPr>
            <w:r>
              <w:rPr>
                <w:sz w:val="15"/>
              </w:rPr>
              <w:t>DB-D26</w:t>
            </w:r>
          </w:p>
        </w:tc>
        <w:tc>
          <w:tcPr>
            <w:tcW w:type="dxa" w:w="5184"/>
            <w:vAlign w:val="top"/>
          </w:tcPr>
          <w:p>
            <w:pPr>
              <w:spacing w:after="0"/>
            </w:pPr>
            <w:r>
              <w:rPr>
                <w:sz w:val="15"/>
              </w:rPr>
              <w:t>CampaignScope is unique per `(campaign_id,storage_space_id)`.</w:t>
            </w:r>
          </w:p>
        </w:tc>
      </w:tr>
      <w:tr>
        <w:tc>
          <w:tcPr>
            <w:tcW w:type="dxa" w:w="5184"/>
            <w:vAlign w:val="top"/>
          </w:tcPr>
          <w:p>
            <w:pPr>
              <w:spacing w:after="0"/>
            </w:pPr>
            <w:r>
              <w:rPr>
                <w:sz w:val="15"/>
              </w:rPr>
              <w:t>DB-D27</w:t>
            </w:r>
          </w:p>
        </w:tc>
        <w:tc>
          <w:tcPr>
            <w:tcW w:type="dxa" w:w="5184"/>
            <w:vAlign w:val="top"/>
          </w:tcPr>
          <w:p>
            <w:pPr>
              <w:spacing w:after="0"/>
            </w:pPr>
            <w:r>
              <w:rPr>
                <w:sz w:val="15"/>
              </w:rPr>
              <w:t>CampaignTeamAssignment history is retained; PostgreSQL uses a partial unique index allowing at most one ACTIVE assignment per Campaign×User.</w:t>
            </w:r>
          </w:p>
        </w:tc>
      </w:tr>
      <w:tr>
        <w:tc>
          <w:tcPr>
            <w:tcW w:type="dxa" w:w="5184"/>
            <w:vAlign w:val="top"/>
          </w:tcPr>
          <w:p>
            <w:pPr>
              <w:spacing w:after="0"/>
            </w:pPr>
            <w:r>
              <w:rPr>
                <w:sz w:val="15"/>
              </w:rPr>
              <w:t>DB-D28</w:t>
            </w:r>
          </w:p>
        </w:tc>
        <w:tc>
          <w:tcPr>
            <w:tcW w:type="dxa" w:w="5184"/>
            <w:vAlign w:val="top"/>
          </w:tcPr>
          <w:p>
            <w:pPr>
              <w:spacing w:after="0"/>
            </w:pPr>
            <w:r>
              <w:rPr>
                <w:sz w:val="15"/>
              </w:rPr>
              <w:t>StocktakingRecord is unique per `(campaign_id,storage_space_id)`.</w:t>
            </w:r>
          </w:p>
        </w:tc>
      </w:tr>
      <w:tr>
        <w:tc>
          <w:tcPr>
            <w:tcW w:type="dxa" w:w="5184"/>
            <w:vAlign w:val="top"/>
          </w:tcPr>
          <w:p>
            <w:pPr>
              <w:spacing w:after="0"/>
            </w:pPr>
            <w:r>
              <w:rPr>
                <w:sz w:val="15"/>
              </w:rPr>
              <w:t>DB-D29</w:t>
            </w:r>
          </w:p>
        </w:tc>
        <w:tc>
          <w:tcPr>
            <w:tcW w:type="dxa" w:w="5184"/>
            <w:vAlign w:val="top"/>
          </w:tcPr>
          <w:p>
            <w:pPr>
              <w:spacing w:after="0"/>
            </w:pPr>
            <w:r>
              <w:rPr>
                <w:sz w:val="15"/>
              </w:rPr>
              <w:t>StocktakingRevision is unique per `(stocktaking_record_id,revision_number)`.</w:t>
            </w:r>
          </w:p>
        </w:tc>
      </w:tr>
      <w:tr>
        <w:tc>
          <w:tcPr>
            <w:tcW w:type="dxa" w:w="5184"/>
            <w:vAlign w:val="top"/>
          </w:tcPr>
          <w:p>
            <w:pPr>
              <w:spacing w:after="0"/>
            </w:pPr>
            <w:r>
              <w:rPr>
                <w:sz w:val="15"/>
              </w:rPr>
              <w:t>DB-D30</w:t>
            </w:r>
          </w:p>
        </w:tc>
        <w:tc>
          <w:tcPr>
            <w:tcW w:type="dxa" w:w="5184"/>
            <w:vAlign w:val="top"/>
          </w:tcPr>
          <w:p>
            <w:pPr>
              <w:spacing w:after="0"/>
            </w:pPr>
            <w:r>
              <w:rPr>
                <w:sz w:val="15"/>
              </w:rPr>
              <w:t>Measurement is unique per `(stocktaking_revision_id,sequence_number)` and sequence is constrained to 1..5.</w:t>
            </w:r>
          </w:p>
        </w:tc>
      </w:tr>
      <w:tr>
        <w:tc>
          <w:tcPr>
            <w:tcW w:type="dxa" w:w="5184"/>
            <w:vAlign w:val="top"/>
          </w:tcPr>
          <w:p>
            <w:pPr>
              <w:spacing w:after="0"/>
            </w:pPr>
            <w:r>
              <w:rPr>
                <w:sz w:val="15"/>
              </w:rPr>
              <w:t>DB-D31</w:t>
            </w:r>
          </w:p>
        </w:tc>
        <w:tc>
          <w:tcPr>
            <w:tcW w:type="dxa" w:w="5184"/>
            <w:vAlign w:val="top"/>
          </w:tcPr>
          <w:p>
            <w:pPr>
              <w:spacing w:after="0"/>
            </w:pPr>
            <w:r>
              <w:rPr>
                <w:sz w:val="15"/>
              </w:rPr>
              <w:t>FinalInventorySnapshot is unique by `campaign_id`; FinalInventorySnapshotEntry is unique by `(final_snapshot_id,storage_space_id)`.</w:t>
            </w:r>
          </w:p>
        </w:tc>
      </w:tr>
      <w:tr>
        <w:tc>
          <w:tcPr>
            <w:tcW w:type="dxa" w:w="5184"/>
            <w:vAlign w:val="top"/>
          </w:tcPr>
          <w:p>
            <w:pPr>
              <w:spacing w:after="0"/>
            </w:pPr>
            <w:r>
              <w:rPr>
                <w:sz w:val="15"/>
              </w:rPr>
              <w:t>DB-D32</w:t>
            </w:r>
          </w:p>
        </w:tc>
        <w:tc>
          <w:tcPr>
            <w:tcW w:type="dxa" w:w="5184"/>
            <w:vAlign w:val="top"/>
          </w:tcPr>
          <w:p>
            <w:pPr>
              <w:spacing w:after="0"/>
            </w:pPr>
            <w:r>
              <w:rPr>
                <w:sz w:val="15"/>
              </w:rPr>
              <w:t>OfflineWorkingSetManifest is unique by Campaign×DeviceInstallation×packageVersion and has at most one current manifest per Campaign×device.</w:t>
            </w:r>
          </w:p>
        </w:tc>
      </w:tr>
      <w:tr>
        <w:tc>
          <w:tcPr>
            <w:tcW w:type="dxa" w:w="5184"/>
            <w:vAlign w:val="top"/>
          </w:tcPr>
          <w:p>
            <w:pPr>
              <w:spacing w:after="0"/>
            </w:pPr>
            <w:r>
              <w:rPr>
                <w:sz w:val="15"/>
              </w:rPr>
              <w:t>DB-D33</w:t>
            </w:r>
          </w:p>
        </w:tc>
        <w:tc>
          <w:tcPr>
            <w:tcW w:type="dxa" w:w="5184"/>
            <w:vAlign w:val="top"/>
          </w:tcPr>
          <w:p>
            <w:pPr>
              <w:spacing w:after="0"/>
            </w:pPr>
            <w:r>
              <w:rPr>
                <w:sz w:val="15"/>
              </w:rPr>
              <w:t>OrganizationConfiguration is unique per `(organization_id,configuration_key)`.</w:t>
            </w:r>
          </w:p>
        </w:tc>
      </w:tr>
      <w:tr>
        <w:tc>
          <w:tcPr>
            <w:tcW w:type="dxa" w:w="5184"/>
            <w:vAlign w:val="top"/>
          </w:tcPr>
          <w:p>
            <w:pPr>
              <w:spacing w:after="0"/>
            </w:pPr>
            <w:r>
              <w:rPr>
                <w:sz w:val="15"/>
              </w:rPr>
              <w:t>DB-D34</w:t>
            </w:r>
          </w:p>
        </w:tc>
        <w:tc>
          <w:tcPr>
            <w:tcW w:type="dxa" w:w="5184"/>
            <w:vAlign w:val="top"/>
          </w:tcPr>
          <w:p>
            <w:pPr>
              <w:spacing w:after="0"/>
            </w:pPr>
            <w:r>
              <w:rPr>
                <w:sz w:val="15"/>
              </w:rPr>
              <w:t>SyncOperation idempotency key is unique in the server mutation namespace; retry reuses the same operation/key.</w:t>
            </w:r>
          </w:p>
        </w:tc>
      </w:tr>
      <w:tr>
        <w:tc>
          <w:tcPr>
            <w:tcW w:type="dxa" w:w="5184"/>
            <w:vAlign w:val="top"/>
          </w:tcPr>
          <w:p>
            <w:pPr>
              <w:spacing w:after="0"/>
            </w:pPr>
            <w:r>
              <w:rPr>
                <w:sz w:val="15"/>
              </w:rPr>
              <w:t>DB-D35</w:t>
            </w:r>
          </w:p>
        </w:tc>
        <w:tc>
          <w:tcPr>
            <w:tcW w:type="dxa" w:w="5184"/>
            <w:vAlign w:val="top"/>
          </w:tcPr>
          <w:p>
            <w:pPr>
              <w:spacing w:after="0"/>
            </w:pPr>
            <w:r>
              <w:rPr>
                <w:sz w:val="15"/>
              </w:rPr>
              <w:t>SyncOperationDependency is unique per parent/dependent pair and forbids self-dependency.</w:t>
            </w:r>
          </w:p>
        </w:tc>
      </w:tr>
      <w:tr>
        <w:tc>
          <w:tcPr>
            <w:tcW w:type="dxa" w:w="5184"/>
            <w:vAlign w:val="top"/>
          </w:tcPr>
          <w:p>
            <w:pPr>
              <w:spacing w:after="0"/>
            </w:pPr>
            <w:r>
              <w:rPr>
                <w:sz w:val="15"/>
              </w:rPr>
              <w:t>DB-D36</w:t>
            </w:r>
          </w:p>
        </w:tc>
        <w:tc>
          <w:tcPr>
            <w:tcW w:type="dxa" w:w="5184"/>
            <w:vAlign w:val="top"/>
          </w:tcPr>
          <w:p>
            <w:pPr>
              <w:spacing w:after="0"/>
            </w:pPr>
            <w:r>
              <w:rPr>
                <w:sz w:val="15"/>
              </w:rPr>
              <w:t>GeometryProfile stores logical identity/current pointer; GeometryProfileVersion stores immutable definitions.</w:t>
            </w:r>
          </w:p>
        </w:tc>
      </w:tr>
      <w:tr>
        <w:tc>
          <w:tcPr>
            <w:tcW w:type="dxa" w:w="5184"/>
            <w:vAlign w:val="top"/>
          </w:tcPr>
          <w:p>
            <w:pPr>
              <w:spacing w:after="0"/>
            </w:pPr>
            <w:r>
              <w:rPr>
                <w:sz w:val="15"/>
              </w:rPr>
              <w:t>DB-D37</w:t>
            </w:r>
          </w:p>
        </w:tc>
        <w:tc>
          <w:tcPr>
            <w:tcW w:type="dxa" w:w="5184"/>
            <w:vAlign w:val="top"/>
          </w:tcPr>
          <w:p>
            <w:pPr>
              <w:spacing w:after="0"/>
            </w:pPr>
            <w:r>
              <w:rPr>
                <w:sz w:val="15"/>
              </w:rPr>
              <w:t>GeometryProfileVersion uses monotonic `version_number` unique per profile.</w:t>
            </w:r>
          </w:p>
        </w:tc>
      </w:tr>
      <w:tr>
        <w:tc>
          <w:tcPr>
            <w:tcW w:type="dxa" w:w="5184"/>
            <w:vAlign w:val="top"/>
          </w:tcPr>
          <w:p>
            <w:pPr>
              <w:spacing w:after="0"/>
            </w:pPr>
            <w:r>
              <w:rPr>
                <w:sz w:val="15"/>
              </w:rPr>
              <w:t>DB-D38</w:t>
            </w:r>
          </w:p>
        </w:tc>
        <w:tc>
          <w:tcPr>
            <w:tcW w:type="dxa" w:w="5184"/>
            <w:vAlign w:val="top"/>
          </w:tcPr>
          <w:p>
            <w:pPr>
              <w:spacing w:after="0"/>
            </w:pPr>
            <w:r>
              <w:rPr>
                <w:sz w:val="15"/>
              </w:rPr>
              <w:t>Geometry parameters are represented by an explicit versioned physical structure, not an opaque generic business JSON blob. Exact F01–F10 parameter columns/structures must transcribe the frozen Calculation Engine contract without changing this strategy.</w:t>
            </w:r>
          </w:p>
        </w:tc>
      </w:tr>
      <w:tr>
        <w:tc>
          <w:tcPr>
            <w:tcW w:type="dxa" w:w="5184"/>
            <w:vAlign w:val="top"/>
          </w:tcPr>
          <w:p>
            <w:pPr>
              <w:spacing w:after="0"/>
            </w:pPr>
            <w:r>
              <w:rPr>
                <w:sz w:val="15"/>
              </w:rPr>
              <w:t>DB-D39</w:t>
            </w:r>
          </w:p>
        </w:tc>
        <w:tc>
          <w:tcPr>
            <w:tcW w:type="dxa" w:w="5184"/>
            <w:vAlign w:val="top"/>
          </w:tcPr>
          <w:p>
            <w:pPr>
              <w:spacing w:after="0"/>
            </w:pPr>
            <w:r>
              <w:rPr>
                <w:sz w:val="15"/>
              </w:rPr>
              <w:t>`max_capacity_m3` is persisted on GeometryProfileVersion as deterministic calculated data and is never editable StorageSpace data.</w:t>
            </w:r>
          </w:p>
        </w:tc>
      </w:tr>
      <w:tr>
        <w:tc>
          <w:tcPr>
            <w:tcW w:type="dxa" w:w="5184"/>
            <w:vAlign w:val="top"/>
          </w:tcPr>
          <w:p>
            <w:pPr>
              <w:spacing w:after="0"/>
            </w:pPr>
            <w:r>
              <w:rPr>
                <w:sz w:val="15"/>
              </w:rPr>
              <w:t>DB-D40</w:t>
            </w:r>
          </w:p>
        </w:tc>
        <w:tc>
          <w:tcPr>
            <w:tcW w:type="dxa" w:w="5184"/>
            <w:vAlign w:val="top"/>
          </w:tcPr>
          <w:p>
            <w:pPr>
              <w:spacing w:after="0"/>
            </w:pPr>
            <w:r>
              <w:rPr>
                <w:sz w:val="15"/>
              </w:rPr>
              <w:t>Commodity uses logical identity plus immutable CommodityVersion, with version number unique per Commodity.</w:t>
            </w:r>
          </w:p>
        </w:tc>
      </w:tr>
      <w:tr>
        <w:tc>
          <w:tcPr>
            <w:tcW w:type="dxa" w:w="5184"/>
            <w:vAlign w:val="top"/>
          </w:tcPr>
          <w:p>
            <w:pPr>
              <w:spacing w:after="0"/>
            </w:pPr>
            <w:r>
              <w:rPr>
                <w:sz w:val="15"/>
              </w:rPr>
              <w:t>DB-D41</w:t>
            </w:r>
          </w:p>
        </w:tc>
        <w:tc>
          <w:tcPr>
            <w:tcW w:type="dxa" w:w="5184"/>
            <w:vAlign w:val="top"/>
          </w:tcPr>
          <w:p>
            <w:pPr>
              <w:spacing w:after="0"/>
            </w:pPr>
            <w:r>
              <w:rPr>
                <w:sz w:val="15"/>
              </w:rPr>
              <w:t>Save &amp; Launch is one PostgreSQL transaction covering code allocation, ACTIVE campaign, frozen scope/team snapshot, CampaignSnapshot and required audit effects; failure rolls back completely.</w:t>
            </w:r>
          </w:p>
        </w:tc>
      </w:tr>
      <w:tr>
        <w:tc>
          <w:tcPr>
            <w:tcW w:type="dxa" w:w="5184"/>
            <w:vAlign w:val="top"/>
          </w:tcPr>
          <w:p>
            <w:pPr>
              <w:spacing w:after="0"/>
            </w:pPr>
            <w:r>
              <w:rPr>
                <w:sz w:val="15"/>
              </w:rPr>
              <w:t>DB-D42</w:t>
            </w:r>
          </w:p>
        </w:tc>
        <w:tc>
          <w:tcPr>
            <w:tcW w:type="dxa" w:w="5184"/>
            <w:vAlign w:val="top"/>
          </w:tcPr>
          <w:p>
            <w:pPr>
              <w:spacing w:after="0"/>
            </w:pPr>
            <w:r>
              <w:rPr>
                <w:sz w:val="15"/>
              </w:rPr>
              <w:t>Campaign sequence allocation is atomic per Organization/year and server-owned.</w:t>
            </w:r>
          </w:p>
        </w:tc>
      </w:tr>
      <w:tr>
        <w:tc>
          <w:tcPr>
            <w:tcW w:type="dxa" w:w="5184"/>
            <w:vAlign w:val="top"/>
          </w:tcPr>
          <w:p>
            <w:pPr>
              <w:spacing w:after="0"/>
            </w:pPr>
            <w:r>
              <w:rPr>
                <w:sz w:val="15"/>
              </w:rPr>
              <w:t>DB-D43</w:t>
            </w:r>
          </w:p>
        </w:tc>
        <w:tc>
          <w:tcPr>
            <w:tcW w:type="dxa" w:w="5184"/>
            <w:vAlign w:val="top"/>
          </w:tcPr>
          <w:p>
            <w:pPr>
              <w:spacing w:after="0"/>
            </w:pPr>
            <w:r>
              <w:rPr>
                <w:sz w:val="15"/>
              </w:rPr>
              <w:t>CampaignSnapshot is persisted as a header plus explicit child snapshot tables for N-valued frozen collections; it is not one opaque JSON business object.</w:t>
            </w:r>
          </w:p>
        </w:tc>
      </w:tr>
      <w:tr>
        <w:tc>
          <w:tcPr>
            <w:tcW w:type="dxa" w:w="5184"/>
            <w:vAlign w:val="top"/>
          </w:tcPr>
          <w:p>
            <w:pPr>
              <w:spacing w:after="0"/>
            </w:pPr>
            <w:r>
              <w:rPr>
                <w:sz w:val="15"/>
              </w:rPr>
              <w:t>DB-D44</w:t>
            </w:r>
          </w:p>
        </w:tc>
        <w:tc>
          <w:tcPr>
            <w:tcW w:type="dxa" w:w="5184"/>
            <w:vAlign w:val="top"/>
          </w:tcPr>
          <w:p>
            <w:pPr>
              <w:spacing w:after="0"/>
            </w:pPr>
            <w:r>
              <w:rPr>
                <w:sz w:val="15"/>
              </w:rPr>
              <w:t>Snapshot rows are immutable; later current-state changes never rewrite launch snapshot meaning.</w:t>
            </w:r>
          </w:p>
        </w:tc>
      </w:tr>
      <w:tr>
        <w:tc>
          <w:tcPr>
            <w:tcW w:type="dxa" w:w="5184"/>
            <w:vAlign w:val="top"/>
          </w:tcPr>
          <w:p>
            <w:pPr>
              <w:spacing w:after="0"/>
            </w:pPr>
            <w:r>
              <w:rPr>
                <w:sz w:val="15"/>
              </w:rPr>
              <w:t>DB-D45</w:t>
            </w:r>
          </w:p>
        </w:tc>
        <w:tc>
          <w:tcPr>
            <w:tcW w:type="dxa" w:w="5184"/>
            <w:vAlign w:val="top"/>
          </w:tcPr>
          <w:p>
            <w:pPr>
              <w:spacing w:after="0"/>
            </w:pPr>
            <w:r>
              <w:rPr>
                <w:sz w:val="15"/>
              </w:rPr>
              <w:t>StocktakingRecord is the stable root and points to `current_revision_id`; revision state resides in StocktakingRevision.</w:t>
            </w:r>
          </w:p>
        </w:tc>
      </w:tr>
      <w:tr>
        <w:tc>
          <w:tcPr>
            <w:tcW w:type="dxa" w:w="5184"/>
            <w:vAlign w:val="top"/>
          </w:tcPr>
          <w:p>
            <w:pPr>
              <w:spacing w:after="0"/>
            </w:pPr>
            <w:r>
              <w:rPr>
                <w:sz w:val="15"/>
              </w:rPr>
              <w:t>DB-D46</w:t>
            </w:r>
          </w:p>
        </w:tc>
        <w:tc>
          <w:tcPr>
            <w:tcW w:type="dxa" w:w="5184"/>
            <w:vAlign w:val="top"/>
          </w:tcPr>
          <w:p>
            <w:pPr>
              <w:spacing w:after="0"/>
            </w:pPr>
            <w:r>
              <w:rPr>
                <w:sz w:val="15"/>
              </w:rPr>
              <w:t>`current_revision_id` may be null only during controlled root creation; setting/repointing it and creating the corresponding revision occurs transactionally, with same-root validation.</w:t>
            </w:r>
          </w:p>
        </w:tc>
      </w:tr>
      <w:tr>
        <w:tc>
          <w:tcPr>
            <w:tcW w:type="dxa" w:w="5184"/>
            <w:vAlign w:val="top"/>
          </w:tcPr>
          <w:p>
            <w:pPr>
              <w:spacing w:after="0"/>
            </w:pPr>
            <w:r>
              <w:rPr>
                <w:sz w:val="15"/>
              </w:rPr>
              <w:t>DB-D47</w:t>
            </w:r>
          </w:p>
        </w:tc>
        <w:tc>
          <w:tcPr>
            <w:tcW w:type="dxa" w:w="5184"/>
            <w:vAlign w:val="top"/>
          </w:tcPr>
          <w:p>
            <w:pPr>
              <w:spacing w:after="0"/>
            </w:pPr>
            <w:r>
              <w:rPr>
                <w:sz w:val="15"/>
              </w:rPr>
              <w:t>Measurement count/Empty semantics are transactionally validated at Validation; row constraints enforce sequence 1..5 but do not pretend to express cross-table business state.</w:t>
            </w:r>
          </w:p>
        </w:tc>
      </w:tr>
      <w:tr>
        <w:tc>
          <w:tcPr>
            <w:tcW w:type="dxa" w:w="5184"/>
            <w:vAlign w:val="top"/>
          </w:tcPr>
          <w:p>
            <w:pPr>
              <w:spacing w:after="0"/>
            </w:pPr>
            <w:r>
              <w:rPr>
                <w:sz w:val="15"/>
              </w:rPr>
              <w:t>DB-D48</w:t>
            </w:r>
          </w:p>
        </w:tc>
        <w:tc>
          <w:tcPr>
            <w:tcW w:type="dxa" w:w="5184"/>
            <w:vAlign w:val="top"/>
          </w:tcPr>
          <w:p>
            <w:pPr>
              <w:spacing w:after="0"/>
            </w:pPr>
            <w:r>
              <w:rPr>
                <w:sz w:val="15"/>
              </w:rPr>
              <w:t>CalculationResult stores fingerprint, engine/formula/version identifiers and official outputs; the validated result is immutable.</w:t>
            </w:r>
          </w:p>
        </w:tc>
      </w:tr>
      <w:tr>
        <w:tc>
          <w:tcPr>
            <w:tcW w:type="dxa" w:w="5184"/>
            <w:vAlign w:val="top"/>
          </w:tcPr>
          <w:p>
            <w:pPr>
              <w:spacing w:after="0"/>
            </w:pPr>
            <w:r>
              <w:rPr>
                <w:sz w:val="15"/>
              </w:rPr>
              <w:t>DB-D49</w:t>
            </w:r>
          </w:p>
        </w:tc>
        <w:tc>
          <w:tcPr>
            <w:tcW w:type="dxa" w:w="5184"/>
            <w:vAlign w:val="top"/>
          </w:tcPr>
          <w:p>
            <w:pPr>
              <w:spacing w:after="0"/>
            </w:pPr>
            <w:r>
              <w:rPr>
                <w:sz w:val="15"/>
              </w:rPr>
              <w:t>Reset Validation is one transaction creating revision N+1, linking the prior validated revision, repointing current revision, and writing audit/outbox effects.</w:t>
            </w:r>
          </w:p>
        </w:tc>
      </w:tr>
      <w:tr>
        <w:tc>
          <w:tcPr>
            <w:tcW w:type="dxa" w:w="5184"/>
            <w:vAlign w:val="top"/>
          </w:tcPr>
          <w:p>
            <w:pPr>
              <w:spacing w:after="0"/>
            </w:pPr>
            <w:r>
              <w:rPr>
                <w:sz w:val="15"/>
              </w:rPr>
              <w:t>DB-D50</w:t>
            </w:r>
          </w:p>
        </w:tc>
        <w:tc>
          <w:tcPr>
            <w:tcW w:type="dxa" w:w="5184"/>
            <w:vAlign w:val="top"/>
          </w:tcPr>
          <w:p>
            <w:pPr>
              <w:spacing w:after="0"/>
            </w:pPr>
            <w:r>
              <w:rPr>
                <w:sz w:val="15"/>
              </w:rPr>
              <w:t>Issue stores current status; IssueStatusEvent and IssueResolution are append-only histories. Reopen never erases resolution history.</w:t>
            </w:r>
          </w:p>
        </w:tc>
      </w:tr>
      <w:tr>
        <w:tc>
          <w:tcPr>
            <w:tcW w:type="dxa" w:w="5184"/>
            <w:vAlign w:val="top"/>
          </w:tcPr>
          <w:p>
            <w:pPr>
              <w:spacing w:after="0"/>
            </w:pPr>
            <w:r>
              <w:rPr>
                <w:sz w:val="15"/>
              </w:rPr>
              <w:t>DB-D51</w:t>
            </w:r>
          </w:p>
        </w:tc>
        <w:tc>
          <w:tcPr>
            <w:tcW w:type="dxa" w:w="5184"/>
            <w:vAlign w:val="top"/>
          </w:tcPr>
          <w:p>
            <w:pPr>
              <w:spacing w:after="0"/>
            </w:pPr>
            <w:r>
              <w:rPr>
                <w:sz w:val="15"/>
              </w:rPr>
              <w:t>Evidence uses one table with exactly one principal owner enforced as StocktakingRecord XOR Issue.</w:t>
            </w:r>
          </w:p>
        </w:tc>
      </w:tr>
      <w:tr>
        <w:tc>
          <w:tcPr>
            <w:tcW w:type="dxa" w:w="5184"/>
            <w:vAlign w:val="top"/>
          </w:tcPr>
          <w:p>
            <w:pPr>
              <w:spacing w:after="0"/>
            </w:pPr>
            <w:r>
              <w:rPr>
                <w:sz w:val="15"/>
              </w:rPr>
              <w:t>DB-D52</w:t>
            </w:r>
          </w:p>
        </w:tc>
        <w:tc>
          <w:tcPr>
            <w:tcW w:type="dxa" w:w="5184"/>
            <w:vAlign w:val="top"/>
          </w:tcPr>
          <w:p>
            <w:pPr>
              <w:spacing w:after="0"/>
            </w:pPr>
            <w:r>
              <w:rPr>
                <w:sz w:val="15"/>
              </w:rPr>
              <w:t>Stocktaking Evidence may bind to a StocktakingRevision; once frozen into validated history, that binding is immutable.</w:t>
            </w:r>
          </w:p>
        </w:tc>
      </w:tr>
      <w:tr>
        <w:tc>
          <w:tcPr>
            <w:tcW w:type="dxa" w:w="5184"/>
            <w:vAlign w:val="top"/>
          </w:tcPr>
          <w:p>
            <w:pPr>
              <w:spacing w:after="0"/>
            </w:pPr>
            <w:r>
              <w:rPr>
                <w:sz w:val="15"/>
              </w:rPr>
              <w:t>DB-D53</w:t>
            </w:r>
          </w:p>
        </w:tc>
        <w:tc>
          <w:tcPr>
            <w:tcW w:type="dxa" w:w="5184"/>
            <w:vAlign w:val="top"/>
          </w:tcPr>
          <w:p>
            <w:pPr>
              <w:spacing w:after="0"/>
            </w:pPr>
            <w:r>
              <w:rPr>
                <w:sz w:val="15"/>
              </w:rPr>
              <w:t>PHOTO and NOTE use discriminator constraints: PHOTO requires binary metadata; NOTE requires note text and forbids binary object fields.</w:t>
            </w:r>
          </w:p>
        </w:tc>
      </w:tr>
      <w:tr>
        <w:tc>
          <w:tcPr>
            <w:tcW w:type="dxa" w:w="5184"/>
            <w:vAlign w:val="top"/>
          </w:tcPr>
          <w:p>
            <w:pPr>
              <w:spacing w:after="0"/>
            </w:pPr>
            <w:r>
              <w:rPr>
                <w:sz w:val="15"/>
              </w:rPr>
              <w:t>DB-D54</w:t>
            </w:r>
          </w:p>
        </w:tc>
        <w:tc>
          <w:tcPr>
            <w:tcW w:type="dxa" w:w="5184"/>
            <w:vAlign w:val="top"/>
          </w:tcPr>
          <w:p>
            <w:pPr>
              <w:spacing w:after="0"/>
            </w:pPr>
            <w:r>
              <w:rPr>
                <w:sz w:val="15"/>
              </w:rPr>
              <w:t>The five-PHOTO limit is enforced transactionally per StocktakingRevision and per Issue, both server-side and locally.</w:t>
            </w:r>
          </w:p>
        </w:tc>
      </w:tr>
      <w:tr>
        <w:tc>
          <w:tcPr>
            <w:tcW w:type="dxa" w:w="5184"/>
            <w:vAlign w:val="top"/>
          </w:tcPr>
          <w:p>
            <w:pPr>
              <w:spacing w:after="0"/>
            </w:pPr>
            <w:r>
              <w:rPr>
                <w:sz w:val="15"/>
              </w:rPr>
              <w:t>DB-D55</w:t>
            </w:r>
          </w:p>
        </w:tc>
        <w:tc>
          <w:tcPr>
            <w:tcW w:type="dxa" w:w="5184"/>
            <w:vAlign w:val="top"/>
          </w:tcPr>
          <w:p>
            <w:pPr>
              <w:spacing w:after="0"/>
            </w:pPr>
            <w:r>
              <w:rPr>
                <w:sz w:val="15"/>
              </w:rPr>
              <w:t>Evidence binaries are never PostgreSQL/Room BLOBs; databases retain metadata, hashes and storage references only.</w:t>
            </w:r>
          </w:p>
        </w:tc>
      </w:tr>
      <w:tr>
        <w:tc>
          <w:tcPr>
            <w:tcW w:type="dxa" w:w="5184"/>
            <w:vAlign w:val="top"/>
          </w:tcPr>
          <w:p>
            <w:pPr>
              <w:spacing w:after="0"/>
            </w:pPr>
            <w:r>
              <w:rPr>
                <w:sz w:val="15"/>
              </w:rPr>
              <w:t>DB-D56</w:t>
            </w:r>
          </w:p>
        </w:tc>
        <w:tc>
          <w:tcPr>
            <w:tcW w:type="dxa" w:w="5184"/>
            <w:vAlign w:val="top"/>
          </w:tcPr>
          <w:p>
            <w:pPr>
              <w:spacing w:after="0"/>
            </w:pPr>
            <w:r>
              <w:rPr>
                <w:sz w:val="15"/>
              </w:rPr>
              <w:t>Room writes an offline-capable business mutation and its SyncOperation atomically before UI success.</w:t>
            </w:r>
          </w:p>
        </w:tc>
      </w:tr>
      <w:tr>
        <w:tc>
          <w:tcPr>
            <w:tcW w:type="dxa" w:w="5184"/>
            <w:vAlign w:val="top"/>
          </w:tcPr>
          <w:p>
            <w:pPr>
              <w:spacing w:after="0"/>
            </w:pPr>
            <w:r>
              <w:rPr>
                <w:sz w:val="15"/>
              </w:rPr>
              <w:t>DB-D57</w:t>
            </w:r>
          </w:p>
        </w:tc>
        <w:tc>
          <w:tcPr>
            <w:tcW w:type="dxa" w:w="5184"/>
            <w:vAlign w:val="top"/>
          </w:tcPr>
          <w:p>
            <w:pPr>
              <w:spacing w:after="0"/>
            </w:pPr>
            <w:r>
              <w:rPr>
                <w:sz w:val="15"/>
              </w:rPr>
              <w:t>Outbox payload is canonical serialized mutation data plus entity/version/idempotency metadata; it is not the business source of truth.</w:t>
            </w:r>
          </w:p>
        </w:tc>
      </w:tr>
      <w:tr>
        <w:tc>
          <w:tcPr>
            <w:tcW w:type="dxa" w:w="5184"/>
            <w:vAlign w:val="top"/>
          </w:tcPr>
          <w:p>
            <w:pPr>
              <w:spacing w:after="0"/>
            </w:pPr>
            <w:r>
              <w:rPr>
                <w:sz w:val="15"/>
              </w:rPr>
              <w:t>DB-D58</w:t>
            </w:r>
          </w:p>
        </w:tc>
        <w:tc>
          <w:tcPr>
            <w:tcW w:type="dxa" w:w="5184"/>
            <w:vAlign w:val="top"/>
          </w:tcPr>
          <w:p>
            <w:pPr>
              <w:spacing w:after="0"/>
            </w:pPr>
            <w:r>
              <w:rPr>
                <w:sz w:val="15"/>
              </w:rPr>
              <w:t>Crash recovery of IN_FLIGHT operations re-enters controlled retry without generating a new idempotency key.</w:t>
            </w:r>
          </w:p>
        </w:tc>
      </w:tr>
      <w:tr>
        <w:tc>
          <w:tcPr>
            <w:tcW w:type="dxa" w:w="5184"/>
            <w:vAlign w:val="top"/>
          </w:tcPr>
          <w:p>
            <w:pPr>
              <w:spacing w:after="0"/>
            </w:pPr>
            <w:r>
              <w:rPr>
                <w:sz w:val="15"/>
              </w:rPr>
              <w:t>DB-D59</w:t>
            </w:r>
          </w:p>
        </w:tc>
        <w:tc>
          <w:tcPr>
            <w:tcW w:type="dxa" w:w="5184"/>
            <w:vAlign w:val="top"/>
          </w:tcPr>
          <w:p>
            <w:pPr>
              <w:spacing w:after="0"/>
            </w:pPr>
            <w:r>
              <w:rPr>
                <w:sz w:val="15"/>
              </w:rPr>
              <w:t>SyncConflict may store structured JSON conflict envelopes containing local attempted and server-authoritative representations/version; this is operational conflict evidence, not generic business persistence.</w:t>
            </w:r>
          </w:p>
        </w:tc>
      </w:tr>
      <w:tr>
        <w:tc>
          <w:tcPr>
            <w:tcW w:type="dxa" w:w="5184"/>
            <w:vAlign w:val="top"/>
          </w:tcPr>
          <w:p>
            <w:pPr>
              <w:spacing w:after="0"/>
            </w:pPr>
            <w:r>
              <w:rPr>
                <w:sz w:val="15"/>
              </w:rPr>
              <w:t>DB-D60</w:t>
            </w:r>
          </w:p>
        </w:tc>
        <w:tc>
          <w:tcPr>
            <w:tcW w:type="dxa" w:w="5184"/>
            <w:vAlign w:val="top"/>
          </w:tcPr>
          <w:p>
            <w:pPr>
              <w:spacing w:after="0"/>
            </w:pPr>
            <w:r>
              <w:rPr>
                <w:sz w:val="15"/>
              </w:rPr>
              <w:t>Acknowledged sync diagnostics may be purged only under approved retention; unresolved failures/conflicts are not auto-deleted.</w:t>
            </w:r>
          </w:p>
        </w:tc>
      </w:tr>
      <w:tr>
        <w:tc>
          <w:tcPr>
            <w:tcW w:type="dxa" w:w="5184"/>
            <w:vAlign w:val="top"/>
          </w:tcPr>
          <w:p>
            <w:pPr>
              <w:spacing w:after="0"/>
            </w:pPr>
            <w:r>
              <w:rPr>
                <w:sz w:val="15"/>
              </w:rPr>
              <w:t>DB-D61</w:t>
            </w:r>
          </w:p>
        </w:tc>
        <w:tc>
          <w:tcPr>
            <w:tcW w:type="dxa" w:w="5184"/>
            <w:vAlign w:val="top"/>
          </w:tcPr>
          <w:p>
            <w:pPr>
              <w:spacing w:after="0"/>
            </w:pPr>
            <w:r>
              <w:rPr>
                <w:sz w:val="15"/>
              </w:rPr>
              <w:t>AuditEvent is append-only; structured before/after/change metadata uses PostgreSQL JSONB where appropriate, excluding secrets and Evidence binaries.</w:t>
            </w:r>
          </w:p>
        </w:tc>
      </w:tr>
      <w:tr>
        <w:tc>
          <w:tcPr>
            <w:tcW w:type="dxa" w:w="5184"/>
            <w:vAlign w:val="top"/>
          </w:tcPr>
          <w:p>
            <w:pPr>
              <w:spacing w:after="0"/>
            </w:pPr>
            <w:r>
              <w:rPr>
                <w:sz w:val="15"/>
              </w:rPr>
              <w:t>DB-D62</w:t>
            </w:r>
          </w:p>
        </w:tc>
        <w:tc>
          <w:tcPr>
            <w:tcW w:type="dxa" w:w="5184"/>
            <w:vAlign w:val="top"/>
          </w:tcPr>
          <w:p>
            <w:pPr>
              <w:spacing w:after="0"/>
            </w:pPr>
            <w:r>
              <w:rPr>
                <w:sz w:val="15"/>
              </w:rPr>
              <w:t>OrganizationConfiguration is typed key/value with dedicated typed value columns and a CHECK requiring exactly the value compatible with `value_type`; arbitrary JSON is prohibited.</w:t>
            </w:r>
          </w:p>
        </w:tc>
      </w:tr>
      <w:tr>
        <w:tc>
          <w:tcPr>
            <w:tcW w:type="dxa" w:w="5184"/>
            <w:vAlign w:val="top"/>
          </w:tcPr>
          <w:p>
            <w:pPr>
              <w:spacing w:after="0"/>
            </w:pPr>
            <w:r>
              <w:rPr>
                <w:sz w:val="15"/>
              </w:rPr>
              <w:t>DB-D63</w:t>
            </w:r>
          </w:p>
        </w:tc>
        <w:tc>
          <w:tcPr>
            <w:tcW w:type="dxa" w:w="5184"/>
            <w:vAlign w:val="top"/>
          </w:tcPr>
          <w:p>
            <w:pPr>
              <w:spacing w:after="0"/>
            </w:pPr>
            <w:r>
              <w:rPr>
                <w:sz w:val="15"/>
              </w:rPr>
              <w:t>Presentation-only local preferences may use DataStore; synchronized cross-device UserPreference data uses the authoritative server table. A preference cannot have two authoritative sources.</w:t>
            </w:r>
          </w:p>
        </w:tc>
      </w:tr>
      <w:tr>
        <w:tc>
          <w:tcPr>
            <w:tcW w:type="dxa" w:w="5184"/>
            <w:vAlign w:val="top"/>
          </w:tcPr>
          <w:p>
            <w:pPr>
              <w:spacing w:after="0"/>
            </w:pPr>
            <w:r>
              <w:rPr>
                <w:sz w:val="15"/>
              </w:rPr>
              <w:t>DB-D64</w:t>
            </w:r>
          </w:p>
        </w:tc>
        <w:tc>
          <w:tcPr>
            <w:tcW w:type="dxa" w:w="5184"/>
            <w:vAlign w:val="top"/>
          </w:tcPr>
          <w:p>
            <w:pPr>
              <w:spacing w:after="0"/>
            </w:pPr>
            <w:r>
              <w:rPr>
                <w:sz w:val="15"/>
              </w:rPr>
              <w:t>Dashboard/report/history/sync projections may use views/materialized views/Room projections but never become authoritative business tables; they remain rebuildable from canonical sources.</w:t>
            </w:r>
          </w:p>
        </w:tc>
      </w:tr>
    </w:tbl>
    <w:p>
      <w:pPr>
        <w:pStyle w:val="Heading1"/>
      </w:pPr>
      <w:r>
        <w:t>23. Cross-document handoff</w:t>
      </w:r>
    </w:p>
    <w:p>
      <w:pPr>
        <w:pStyle w:val="ListBullet"/>
        <w:spacing w:after="40"/>
      </w:pPr>
      <w:r>
        <w:t>11_API_SPECIFICATION exposes domain/API contracts without leaking SQL/Room representation.</w:t>
      </w:r>
    </w:p>
    <w:p>
      <w:pPr>
        <w:pStyle w:val="ListBullet"/>
        <w:spacing w:after="40"/>
      </w:pPr>
      <w:r>
        <w:t>12_OFFLINE_SYNC_SPECIFICATION may refine scheduling/retry/package mechanics but cannot change outbox atomicity, idempotency, explicit dependencies or conflict persistence.</w:t>
      </w:r>
    </w:p>
    <w:p>
      <w:pPr>
        <w:pStyle w:val="ListBullet"/>
        <w:spacing w:after="40"/>
      </w:pPr>
      <w:r>
        <w:t>13_CALCULATION_ENGINE_SPECIFICATION supplies exact F01–F10 parameter/formula semantics to the explicit GeometryProfileVersion structure without replacing it with opaque business JSON.</w:t>
      </w:r>
    </w:p>
    <w:p>
      <w:pPr>
        <w:pStyle w:val="ListBullet"/>
        <w:spacing w:after="40"/>
      </w:pPr>
      <w:r>
        <w:t>15_EVIDENCE_STORAGE_SPECIFICATION refines object/file storage without database BLOBs.</w:t>
      </w:r>
    </w:p>
    <w:p>
      <w:pPr>
        <w:pStyle w:val="ListBullet"/>
        <w:spacing w:after="40"/>
      </w:pPr>
      <w:r>
        <w:t>19_RETENTION_POLICY defines approved cleanup/archive execution without breaking historical integrity.</w:t>
      </w:r>
    </w:p>
    <w:p>
      <w:pPr>
        <w:pStyle w:val="ListBullet"/>
        <w:spacing w:after="40"/>
      </w:pPr>
      <w:r>
        <w:t>20_PRODUCTION_OPERATIONS refines backup/restore/migration execution while preserving forward-safe evolution.</w:t>
      </w:r>
    </w:p>
    <w:p>
      <w:pPr>
        <w:pStyle w:val="Heading1"/>
      </w:pPr>
      <w:r>
        <w:t>24. Freeze statement</w:t>
      </w:r>
    </w:p>
    <w:p>
      <w:r>
        <w:t>After explicit approval, this document is the canonical SiloMath V6 physical database schema contract. Later documents and implementation may refine non-semantic index tuning, SQL syntax, migration scripts and operational mechanics, but may not change DB-D01–DB-D64, the physical representation strategy, tenant/referential integrity, transactional boundaries, historical immutability or the logical semantics frozen by Document 09 without an approved V6 change.</w:t>
      </w:r>
    </w:p>
    <w:p>
      <w:pPr>
        <w:jc w:val="center"/>
      </w:pPr>
      <w:r>
        <w:t>End of Document — 10_DATABASE_SCHEMA</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SiloMath V6 • 10_DATABASE_SCHEMA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