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SiloMath V6 — 11_API_SPECIFICATION</w:t>
      </w:r>
    </w:p>
    <w:p>
      <w:pPr>
        <w:jc w:val="center"/>
      </w:pPr>
      <w:r>
        <w:rPr>
          <w:b/>
          <w:sz w:val="24"/>
        </w:rPr>
        <w:t>Canonical Android ↔ Backend REST Contract</w:t>
      </w:r>
    </w:p>
    <w:p>
      <w:pPr>
        <w:jc w:val="center"/>
      </w:pPr>
      <w:r>
        <w:t>Status: APPROVED / FROZEN V6</w:t>
      </w:r>
    </w:p>
    <w:p>
      <w:pPr>
        <w:pStyle w:val="Heading1"/>
      </w:pPr>
      <w:r>
        <w:t>1. Purpose, authority and scope</w:t>
      </w:r>
    </w:p>
    <w:p>
      <w:pPr>
        <w:spacing w:after="80"/>
      </w:pPr>
      <w:r>
        <w:t>This document defines the complete V6 HTTP/API contract required by the frozen product, business, authorization, workflow, architecture, data-model and database contracts through Document 10. It defines resources, endpoints, DTO semantics, authentication transport, organization scope, authorization, optimistic concurrency, idempotency, pagination, errors, offline package transfer, synchronization, Evidence transfer, Close, reports, history, audit, notifications and configuration.</w:t>
      </w:r>
    </w:p>
    <w:p>
      <w:pPr>
        <w:spacing w:after="80"/>
      </w:pPr>
      <w:r>
        <w:t>It does not make SQL/Room structures public API, does not redefine business rules, and does not create new workflow states. Where a later specialist document refines transfer scheduling, formula detail, binary storage, report layout, security hardening, retention execution or operations, that refinement must preserve this API's frozen semantic outcomes.</w:t>
      </w:r>
    </w:p>
    <w:p>
      <w:pPr>
        <w:pStyle w:val="Heading2"/>
      </w:pPr>
      <w:r>
        <w:t>1.1 Normative sources</w:t>
      </w:r>
    </w:p>
    <w:p>
      <w:pPr>
        <w:pStyle w:val="ListBullet"/>
        <w:spacing w:after="20"/>
      </w:pPr>
      <w:r>
        <w:t>01_PRODUCT_BASELINE through 10_DATABASE_SCHEMA, including D01–D36, FC-01–FC-11, IC-01–IC-17, DM-D01–DM-D60 and DB-D01–DB-D64.</w:t>
      </w:r>
    </w:p>
    <w:p>
      <w:pPr>
        <w:pStyle w:val="ListBullet"/>
        <w:spacing w:after="20"/>
      </w:pPr>
      <w:r>
        <w:t>Server-side authorization is authoritative; Android visibility is UX only.</w:t>
      </w:r>
    </w:p>
    <w:p>
      <w:pPr>
        <w:pStyle w:val="ListBullet"/>
        <w:spacing w:after="20"/>
      </w:pPr>
      <w:r>
        <w:t>The backend is the enterprise source of truth; Android operational screens read repository/Room state rather than rendering transient HTTP responses directly.</w:t>
      </w:r>
    </w:p>
    <w:p>
      <w:pPr>
        <w:pStyle w:val="Heading1"/>
      </w:pPr>
      <w:r>
        <w:t>2. Protocol and versioning</w:t>
      </w:r>
    </w:p>
    <w:p>
      <w:pPr>
        <w:pStyle w:val="ListBullet"/>
        <w:spacing w:after="20"/>
      </w:pPr>
      <w:r>
        <w:t>Production transport: HTTPS/TLS only; cleartext is prohibited.</w:t>
      </w:r>
    </w:p>
    <w:p>
      <w:pPr>
        <w:pStyle w:val="ListBullet"/>
        <w:spacing w:after="20"/>
      </w:pPr>
      <w:r>
        <w:t>API style: REST/HTTP JSON for ordinary resources and commands; dedicated binary/stream transfer for Evidence and offline package/export content.</w:t>
      </w:r>
    </w:p>
    <w:p>
      <w:pPr>
        <w:pStyle w:val="ListBullet"/>
        <w:spacing w:after="20"/>
      </w:pPr>
      <w:r>
        <w:t>Base path: `/api/v1`. Breaking HTTP contract changes require a new major API path/version; additive compatible fields may be introduced within v1.</w:t>
      </w:r>
    </w:p>
    <w:p>
      <w:pPr>
        <w:pStyle w:val="ListBullet"/>
        <w:spacing w:after="20"/>
      </w:pPr>
      <w:r>
        <w:t>Media type for JSON: `application/json; charset=utf-8`.</w:t>
      </w:r>
    </w:p>
    <w:p>
      <w:pPr>
        <w:pStyle w:val="ListBullet"/>
        <w:spacing w:after="20"/>
      </w:pPr>
      <w:r>
        <w:t>IDs are UUID strings. Business Codes are separate values.</w:t>
      </w:r>
    </w:p>
    <w:p>
      <w:pPr>
        <w:pStyle w:val="ListBullet"/>
        <w:spacing w:after="20"/>
      </w:pPr>
      <w:r>
        <w:t>JSON property naming: lower camelCase. Stable enum codes are uppercase machine codes.</w:t>
      </w:r>
    </w:p>
    <w:p>
      <w:pPr>
        <w:pStyle w:val="ListBullet"/>
        <w:spacing w:after="20"/>
      </w:pPr>
      <w:r>
        <w:t>Unknown additive response fields must be ignored by clients. Servers must reject unknown/unsupported mutation enum values that would alter business meaning.</w:t>
      </w:r>
    </w:p>
    <w:p>
      <w:pPr>
        <w:pStyle w:val="ListBullet"/>
        <w:spacing w:after="20"/>
      </w:pPr>
      <w:r>
        <w:t>Server timestamps are authoritative UTC ISO-8601. Date-only campaign values remain `YYYY-MM-DD` and are never timezone shifted.</w:t>
      </w:r>
    </w:p>
    <w:p>
      <w:pPr>
        <w:pStyle w:val="ListBullet"/>
        <w:spacing w:after="20"/>
      </w:pPr>
      <w:r>
        <w:t>Governed decimals are represented losslessly and mapped to decimal types; calculation/business code must not parse them through binary floating point.</w:t>
      </w:r>
    </w:p>
    <w:p>
      <w:pPr>
        <w:pStyle w:val="Heading1"/>
      </w:pPr>
      <w:r>
        <w:t>3. Standard request headers</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D9EAF7"/>
          </w:tcPr>
          <w:p>
            <w:r>
              <w:rPr>
                <w:b/>
                <w:sz w:val="14"/>
              </w:rPr>
              <w:t>Header</w:t>
            </w:r>
          </w:p>
        </w:tc>
        <w:tc>
          <w:tcPr>
            <w:tcW w:type="dxa" w:w="5083"/>
            <w:shd w:fill="D9EAF7"/>
          </w:tcPr>
          <w:p>
            <w:r>
              <w:rPr>
                <w:b/>
                <w:sz w:val="14"/>
              </w:rPr>
              <w:t>Required</w:t>
            </w:r>
          </w:p>
        </w:tc>
        <w:tc>
          <w:tcPr>
            <w:tcW w:type="dxa" w:w="5083"/>
            <w:shd w:fill="D9EAF7"/>
          </w:tcPr>
          <w:p>
            <w:r>
              <w:rPr>
                <w:b/>
                <w:sz w:val="14"/>
              </w:rPr>
              <w:t>Contract</w:t>
            </w:r>
          </w:p>
        </w:tc>
      </w:tr>
      <w:tr>
        <w:tc>
          <w:tcPr>
            <w:tcW w:type="dxa" w:w="5083"/>
            <w:vAlign w:val="top"/>
          </w:tcPr>
          <w:p>
            <w:pPr>
              <w:spacing w:after="0"/>
            </w:pPr>
            <w:r>
              <w:rPr>
                <w:sz w:val="14"/>
              </w:rPr>
              <w:t>`Authorization: Bearer &lt;access-token&gt;`</w:t>
            </w:r>
          </w:p>
        </w:tc>
        <w:tc>
          <w:tcPr>
            <w:tcW w:type="dxa" w:w="5083"/>
            <w:vAlign w:val="top"/>
          </w:tcPr>
          <w:p>
            <w:pPr>
              <w:spacing w:after="0"/>
            </w:pPr>
            <w:r>
              <w:rPr>
                <w:sz w:val="14"/>
              </w:rPr>
              <w:t>Protected endpoints</w:t>
            </w:r>
          </w:p>
        </w:tc>
        <w:tc>
          <w:tcPr>
            <w:tcW w:type="dxa" w:w="5083"/>
            <w:vAlign w:val="top"/>
          </w:tcPr>
          <w:p>
            <w:pPr>
              <w:spacing w:after="0"/>
            </w:pPr>
            <w:r>
              <w:rPr>
                <w:sz w:val="14"/>
              </w:rPr>
              <w:t>Secure server-issued session credential. Token internals are not a client/domain contract.</w:t>
            </w:r>
          </w:p>
        </w:tc>
      </w:tr>
      <w:tr>
        <w:tc>
          <w:tcPr>
            <w:tcW w:type="dxa" w:w="5083"/>
            <w:vAlign w:val="top"/>
          </w:tcPr>
          <w:p>
            <w:pPr>
              <w:spacing w:after="0"/>
            </w:pPr>
            <w:r>
              <w:rPr>
                <w:sz w:val="14"/>
              </w:rPr>
              <w:t>`X-Correlation-Id`</w:t>
            </w:r>
          </w:p>
        </w:tc>
        <w:tc>
          <w:tcPr>
            <w:tcW w:type="dxa" w:w="5083"/>
            <w:vAlign w:val="top"/>
          </w:tcPr>
          <w:p>
            <w:pPr>
              <w:spacing w:after="0"/>
            </w:pPr>
            <w:r>
              <w:rPr>
                <w:sz w:val="14"/>
              </w:rPr>
              <w:t>Recommended; server creates if absent</w:t>
            </w:r>
          </w:p>
        </w:tc>
        <w:tc>
          <w:tcPr>
            <w:tcW w:type="dxa" w:w="5083"/>
            <w:vAlign w:val="top"/>
          </w:tcPr>
          <w:p>
            <w:pPr>
              <w:spacing w:after="0"/>
            </w:pPr>
            <w:r>
              <w:rPr>
                <w:sz w:val="14"/>
              </w:rPr>
              <w:t>UUID/string trace identifier returned on response and errors. Never authorization.</w:t>
            </w:r>
          </w:p>
        </w:tc>
      </w:tr>
      <w:tr>
        <w:tc>
          <w:tcPr>
            <w:tcW w:type="dxa" w:w="5083"/>
            <w:vAlign w:val="top"/>
          </w:tcPr>
          <w:p>
            <w:pPr>
              <w:spacing w:after="0"/>
            </w:pPr>
            <w:r>
              <w:rPr>
                <w:sz w:val="14"/>
              </w:rPr>
              <w:t>`Idempotency-Key`</w:t>
            </w:r>
          </w:p>
        </w:tc>
        <w:tc>
          <w:tcPr>
            <w:tcW w:type="dxa" w:w="5083"/>
            <w:vAlign w:val="top"/>
          </w:tcPr>
          <w:p>
            <w:pPr>
              <w:spacing w:after="0"/>
            </w:pPr>
            <w:r>
              <w:rPr>
                <w:sz w:val="14"/>
              </w:rPr>
              <w:t>Synchronized/retryable mutations</w:t>
            </w:r>
          </w:p>
        </w:tc>
        <w:tc>
          <w:tcPr>
            <w:tcW w:type="dxa" w:w="5083"/>
            <w:vAlign w:val="top"/>
          </w:tcPr>
          <w:p>
            <w:pPr>
              <w:spacing w:after="0"/>
            </w:pPr>
            <w:r>
              <w:rPr>
                <w:sz w:val="14"/>
              </w:rPr>
              <w:t>Stable UUID/key for one logical mutation. Retry reuses exactly the same key.</w:t>
            </w:r>
          </w:p>
        </w:tc>
      </w:tr>
      <w:tr>
        <w:tc>
          <w:tcPr>
            <w:tcW w:type="dxa" w:w="5083"/>
            <w:vAlign w:val="top"/>
          </w:tcPr>
          <w:p>
            <w:pPr>
              <w:spacing w:after="0"/>
            </w:pPr>
            <w:r>
              <w:rPr>
                <w:sz w:val="14"/>
              </w:rPr>
              <w:t>`If-Match-Entity-Version`</w:t>
            </w:r>
          </w:p>
        </w:tc>
        <w:tc>
          <w:tcPr>
            <w:tcW w:type="dxa" w:w="5083"/>
            <w:vAlign w:val="top"/>
          </w:tcPr>
          <w:p>
            <w:pPr>
              <w:spacing w:after="0"/>
            </w:pPr>
            <w:r>
              <w:rPr>
                <w:sz w:val="14"/>
              </w:rPr>
              <w:t>Mutable synchronized updates where applicable</w:t>
            </w:r>
          </w:p>
        </w:tc>
        <w:tc>
          <w:tcPr>
            <w:tcW w:type="dxa" w:w="5083"/>
            <w:vAlign w:val="top"/>
          </w:tcPr>
          <w:p>
            <w:pPr>
              <w:spacing w:after="0"/>
            </w:pPr>
            <w:r>
              <w:rPr>
                <w:sz w:val="14"/>
              </w:rPr>
              <w:t>Decimal integer base entity version. Equivalent body field is allowed for sync batch; semantics must be identical.</w:t>
            </w:r>
          </w:p>
        </w:tc>
      </w:tr>
      <w:tr>
        <w:tc>
          <w:tcPr>
            <w:tcW w:type="dxa" w:w="5083"/>
            <w:vAlign w:val="top"/>
          </w:tcPr>
          <w:p>
            <w:pPr>
              <w:spacing w:after="0"/>
            </w:pPr>
            <w:r>
              <w:rPr>
                <w:sz w:val="14"/>
              </w:rPr>
              <w:t>`X-Organization-Id`</w:t>
            </w:r>
          </w:p>
        </w:tc>
        <w:tc>
          <w:tcPr>
            <w:tcW w:type="dxa" w:w="5083"/>
            <w:vAlign w:val="top"/>
          </w:tcPr>
          <w:p>
            <w:pPr>
              <w:spacing w:after="0"/>
            </w:pPr>
            <w:r>
              <w:rPr>
                <w:sz w:val="14"/>
              </w:rPr>
              <w:t>Optional context aid</w:t>
            </w:r>
          </w:p>
        </w:tc>
        <w:tc>
          <w:tcPr>
            <w:tcW w:type="dxa" w:w="5083"/>
            <w:vAlign w:val="top"/>
          </w:tcPr>
          <w:p>
            <w:pPr>
              <w:spacing w:after="0"/>
            </w:pPr>
            <w:r>
              <w:rPr>
                <w:sz w:val="14"/>
              </w:rPr>
              <w:t>May carry selected organization context but never substitutes for path/resource authorization.</w:t>
            </w:r>
          </w:p>
        </w:tc>
      </w:tr>
      <w:tr>
        <w:tc>
          <w:tcPr>
            <w:tcW w:type="dxa" w:w="5083"/>
            <w:vAlign w:val="top"/>
          </w:tcPr>
          <w:p>
            <w:pPr>
              <w:spacing w:after="0"/>
            </w:pPr>
            <w:r>
              <w:rPr>
                <w:sz w:val="14"/>
              </w:rPr>
              <w:t>`X-Device-Installation-Id`</w:t>
            </w:r>
          </w:p>
        </w:tc>
        <w:tc>
          <w:tcPr>
            <w:tcW w:type="dxa" w:w="5083"/>
            <w:vAlign w:val="top"/>
          </w:tcPr>
          <w:p>
            <w:pPr>
              <w:spacing w:after="0"/>
            </w:pPr>
            <w:r>
              <w:rPr>
                <w:sz w:val="14"/>
              </w:rPr>
              <w:t>Offline/package/sync when the endpoint contract explicitly requires it</w:t>
            </w:r>
          </w:p>
        </w:tc>
        <w:tc>
          <w:tcPr>
            <w:tcW w:type="dxa" w:w="5083"/>
            <w:vAlign w:val="top"/>
          </w:tcPr>
          <w:p>
            <w:pPr>
              <w:spacing w:after="0"/>
            </w:pPr>
            <w:r>
              <w:rPr>
                <w:sz w:val="14"/>
              </w:rPr>
              <w:t>Privacy-safe installation UUID; never IMEI/advertising/hardware ID.</w:t>
            </w:r>
          </w:p>
        </w:tc>
      </w:tr>
      <w:tr>
        <w:tc>
          <w:tcPr>
            <w:tcW w:type="dxa" w:w="5083"/>
            <w:vAlign w:val="top"/>
          </w:tcPr>
          <w:p>
            <w:pPr>
              <w:spacing w:after="0"/>
            </w:pPr>
            <w:r>
              <w:rPr>
                <w:sz w:val="14"/>
              </w:rPr>
              <w:t>`Accept` / `Content-Type`</w:t>
            </w:r>
          </w:p>
        </w:tc>
        <w:tc>
          <w:tcPr>
            <w:tcW w:type="dxa" w:w="5083"/>
            <w:vAlign w:val="top"/>
          </w:tcPr>
          <w:p>
            <w:pPr>
              <w:spacing w:after="0"/>
            </w:pPr>
            <w:r>
              <w:rPr>
                <w:sz w:val="14"/>
              </w:rPr>
              <w:t>According to the endpoint contract</w:t>
            </w:r>
          </w:p>
        </w:tc>
        <w:tc>
          <w:tcPr>
            <w:tcW w:type="dxa" w:w="5083"/>
            <w:vAlign w:val="top"/>
          </w:tcPr>
          <w:p>
            <w:pPr>
              <w:spacing w:after="0"/>
            </w:pPr>
            <w:r>
              <w:rPr>
                <w:sz w:val="14"/>
              </w:rPr>
              <w:t>JSON, JPEG, PDF, CSV or package stream according to endpoint.</w:t>
            </w:r>
          </w:p>
        </w:tc>
      </w:tr>
    </w:tbl>
    <w:p>
      <w:pPr>
        <w:spacing w:after="20"/>
      </w:pPr>
    </w:p>
    <w:p>
      <w:pPr>
        <w:pStyle w:val="Heading2"/>
      </w:pPr>
      <w:r>
        <w:t>3.1 Standard response headers</w:t>
      </w:r>
    </w:p>
    <w:p>
      <w:pPr>
        <w:pStyle w:val="ListBullet"/>
        <w:spacing w:after="20"/>
      </w:pPr>
      <w:r>
        <w:t>`X-Correlation-Id` on every server response.</w:t>
      </w:r>
    </w:p>
    <w:p>
      <w:pPr>
        <w:pStyle w:val="ListBullet"/>
        <w:spacing w:after="20"/>
      </w:pPr>
      <w:r>
        <w:t>`ETag` may be emitted for cache efficiency, but optimistic business concurrency is defined by `entityVersion`, not by opaque HTTP cache semantics.</w:t>
      </w:r>
    </w:p>
    <w:p>
      <w:pPr>
        <w:pStyle w:val="ListBullet"/>
        <w:spacing w:after="20"/>
      </w:pPr>
      <w:r>
        <w:t>`Retry-After` is used with 429/503 where the server can provide a retry interval.</w:t>
      </w:r>
    </w:p>
    <w:p>
      <w:pPr>
        <w:pStyle w:val="ListBullet"/>
        <w:spacing w:after="20"/>
      </w:pPr>
      <w:r>
        <w:t>Binary responses provide safe `Content-Type`, `Content-Length` where known, and integrity metadata when the endpoint contract explicitly requires it.</w:t>
      </w:r>
    </w:p>
    <w:p>
      <w:pPr>
        <w:pStyle w:val="Heading1"/>
      </w:pPr>
      <w:r>
        <w:t>4. Authentication and session contract</w:t>
      </w:r>
    </w:p>
    <w:p>
      <w:pPr>
        <w:pStyle w:val="ListBullet"/>
        <w:spacing w:after="20"/>
      </w:pPr>
      <w:r>
        <w:t>V6 supports email/password Sign In, Forgot Password, Reset Password and secure automatic session restoration.</w:t>
      </w:r>
    </w:p>
    <w:p>
      <w:pPr>
        <w:pStyle w:val="ListBullet"/>
        <w:spacing w:after="20"/>
      </w:pPr>
      <w:r>
        <w:t>No public Sign Up, Remember Me, Google SSO or Microsoft SSO.</w:t>
      </w:r>
    </w:p>
    <w:p>
      <w:pPr>
        <w:pStyle w:val="ListBullet"/>
        <w:spacing w:after="20"/>
      </w:pPr>
      <w:r>
        <w:t>Password rules and credential/session lifetime are server-controlled. The API may return machine-readable password requirements/errors; Android must not invent a competing policy.</w:t>
      </w:r>
    </w:p>
    <w:p>
      <w:pPr>
        <w:pStyle w:val="ListBullet"/>
        <w:spacing w:after="20"/>
      </w:pPr>
      <w:r>
        <w:t>A Disabled User cannot establish a new valid session or perform new operations.</w:t>
      </w:r>
    </w:p>
    <w:p>
      <w:pPr>
        <w:pStyle w:val="ListBullet"/>
        <w:spacing w:after="20"/>
      </w:pPr>
      <w:r>
        <w:t>Sign Out revokes/removes session credentials as supported but never instructs Android to delete unsynchronized business data.</w:t>
      </w:r>
    </w:p>
    <w:p>
      <w:pPr>
        <w:pStyle w:val="ListBullet"/>
        <w:spacing w:after="20"/>
      </w:pPr>
      <w:r>
        <w:t>Offline continuation is not offline authentication: it is use of previously authorized cached campaign context. Remote protected actions always re-authorize server-side.</w:t>
      </w:r>
    </w:p>
    <w:p>
      <w:pPr>
        <w:pStyle w:val="ListBullet"/>
        <w:spacing w:after="20"/>
      </w:pPr>
      <w:r>
        <w:t>Access and refresh credentials are secrets: never returned in logs/errors, never placed in URLs, and never stored in ordinary Room business tables.</w:t>
      </w:r>
    </w:p>
    <w:p>
      <w:pPr>
        <w:pStyle w:val="Heading1"/>
      </w:pPr>
      <w:r>
        <w:t>5. Authorization evaluation</w:t>
      </w:r>
    </w:p>
    <w:p>
      <w:pPr>
        <w:spacing w:after="80"/>
      </w:pPr>
      <w:r>
        <w:t>For every protected request the server evaluates, according to the endpoint contract: authenticated Active User → valid OrganizationMembership → role Admin/Standard → Organization/data scope → Campaign access → Campaign Team membership for Stocktaking mutations → entity/workflow state → connectivity/server-authority guard → optimistic version/integrity rules.</w:t>
      </w:r>
    </w:p>
    <w:p>
      <w:pPr>
        <w:spacing w:after="80"/>
      </w:pPr>
      <w:r>
        <w:t>Admin role alone does not grant Stocktaking mutation rights. Campaign Team membership remains required. Close is Admin-only and online. Audit Trail is Admin-only. Organization tenant creation requires platform/onboarding authority, not ordinary Organization Admin status.</w:t>
      </w:r>
    </w:p>
    <w:p>
      <w:pPr>
        <w:pStyle w:val="Heading1"/>
      </w:pPr>
      <w:r>
        <w:t>6. Common DTO and serialization contract</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Contract</w:t>
            </w:r>
          </w:p>
        </w:tc>
        <w:tc>
          <w:tcPr>
            <w:tcW w:type="dxa" w:w="7625"/>
            <w:shd w:fill="D9EAF7"/>
          </w:tcPr>
          <w:p>
            <w:r>
              <w:rPr>
                <w:b/>
                <w:sz w:val="14"/>
              </w:rPr>
              <w:t>Fields / rule</w:t>
            </w:r>
          </w:p>
        </w:tc>
      </w:tr>
      <w:tr>
        <w:tc>
          <w:tcPr>
            <w:tcW w:type="dxa" w:w="7625"/>
            <w:vAlign w:val="top"/>
          </w:tcPr>
          <w:p>
            <w:pPr>
              <w:spacing w:after="0"/>
            </w:pPr>
            <w:r>
              <w:rPr>
                <w:sz w:val="14"/>
              </w:rPr>
              <w:t>CommonMutationControl</w:t>
            </w:r>
          </w:p>
        </w:tc>
        <w:tc>
          <w:tcPr>
            <w:tcW w:type="dxa" w:w="7625"/>
            <w:vAlign w:val="top"/>
          </w:tcPr>
          <w:p>
            <w:pPr>
              <w:spacing w:after="0"/>
            </w:pPr>
            <w:r>
              <w:rPr>
                <w:sz w:val="14"/>
              </w:rPr>
              <w:t>idempotencyKey UUID; baseEntityVersion long where mutable entity exists; clientOperationId UUID; occurredAtUtc optional client fact; deviceInstallationId when sync/offline context requires it.</w:t>
            </w:r>
          </w:p>
        </w:tc>
      </w:tr>
      <w:tr>
        <w:tc>
          <w:tcPr>
            <w:tcW w:type="dxa" w:w="7625"/>
            <w:vAlign w:val="top"/>
          </w:tcPr>
          <w:p>
            <w:pPr>
              <w:spacing w:after="0"/>
            </w:pPr>
            <w:r>
              <w:rPr>
                <w:sz w:val="14"/>
              </w:rPr>
              <w:t>Page&lt;T&gt;</w:t>
            </w:r>
          </w:p>
        </w:tc>
        <w:tc>
          <w:tcPr>
            <w:tcW w:type="dxa" w:w="7625"/>
            <w:vAlign w:val="top"/>
          </w:tcPr>
          <w:p>
            <w:pPr>
              <w:spacing w:after="0"/>
            </w:pPr>
            <w:r>
              <w:rPr>
                <w:sz w:val="14"/>
              </w:rPr>
              <w:t>items[]; nextCursor nullable; hasMore boolean. Cursor is opaque; clients must not construct/parse it.</w:t>
            </w:r>
          </w:p>
        </w:tc>
      </w:tr>
      <w:tr>
        <w:tc>
          <w:tcPr>
            <w:tcW w:type="dxa" w:w="7625"/>
            <w:vAlign w:val="top"/>
          </w:tcPr>
          <w:p>
            <w:pPr>
              <w:spacing w:after="0"/>
            </w:pPr>
            <w:r>
              <w:rPr>
                <w:sz w:val="14"/>
              </w:rPr>
              <w:t>FieldError</w:t>
            </w:r>
          </w:p>
        </w:tc>
        <w:tc>
          <w:tcPr>
            <w:tcW w:type="dxa" w:w="7625"/>
            <w:vAlign w:val="top"/>
          </w:tcPr>
          <w:p>
            <w:pPr>
              <w:spacing w:after="0"/>
            </w:pPr>
            <w:r>
              <w:rPr>
                <w:sz w:val="14"/>
              </w:rPr>
              <w:t>field; code; message.</w:t>
            </w:r>
          </w:p>
        </w:tc>
      </w:tr>
      <w:tr>
        <w:tc>
          <w:tcPr>
            <w:tcW w:type="dxa" w:w="7625"/>
            <w:vAlign w:val="top"/>
          </w:tcPr>
          <w:p>
            <w:pPr>
              <w:spacing w:after="0"/>
            </w:pPr>
            <w:r>
              <w:rPr>
                <w:sz w:val="14"/>
              </w:rPr>
              <w:t>ApiError</w:t>
            </w:r>
          </w:p>
        </w:tc>
        <w:tc>
          <w:tcPr>
            <w:tcW w:type="dxa" w:w="7625"/>
            <w:vAlign w:val="top"/>
          </w:tcPr>
          <w:p>
            <w:pPr>
              <w:spacing w:after="0"/>
            </w:pPr>
            <w:r>
              <w:rPr>
                <w:sz w:val="14"/>
              </w:rPr>
              <w:t>code; message; fieldErrors[]; correlationId; retryable; details optional structured safe object.</w:t>
            </w:r>
          </w:p>
        </w:tc>
      </w:tr>
      <w:tr>
        <w:tc>
          <w:tcPr>
            <w:tcW w:type="dxa" w:w="7625"/>
            <w:vAlign w:val="top"/>
          </w:tcPr>
          <w:p>
            <w:pPr>
              <w:spacing w:after="0"/>
            </w:pPr>
            <w:r>
              <w:rPr>
                <w:sz w:val="14"/>
              </w:rPr>
              <w:t>Entity metadata</w:t>
            </w:r>
          </w:p>
        </w:tc>
        <w:tc>
          <w:tcPr>
            <w:tcW w:type="dxa" w:w="7625"/>
            <w:vAlign w:val="top"/>
          </w:tcPr>
          <w:p>
            <w:pPr>
              <w:spacing w:after="0"/>
            </w:pPr>
            <w:r>
              <w:rPr>
                <w:sz w:val="14"/>
              </w:rPr>
              <w:t>id UUID; createdAt/By; updatedAt/By; entityVersion for mutable synchronized entities.</w:t>
            </w:r>
          </w:p>
        </w:tc>
      </w:tr>
      <w:tr>
        <w:tc>
          <w:tcPr>
            <w:tcW w:type="dxa" w:w="7625"/>
            <w:vAlign w:val="top"/>
          </w:tcPr>
          <w:p>
            <w:pPr>
              <w:spacing w:after="0"/>
            </w:pPr>
            <w:r>
              <w:rPr>
                <w:sz w:val="14"/>
              </w:rPr>
              <w:t>Lifecycle codes</w:t>
            </w:r>
          </w:p>
        </w:tc>
        <w:tc>
          <w:tcPr>
            <w:tcW w:type="dxa" w:w="7625"/>
            <w:vAlign w:val="top"/>
          </w:tcPr>
          <w:p>
            <w:pPr>
              <w:spacing w:after="0"/>
            </w:pPr>
            <w:r>
              <w:rPr>
                <w:sz w:val="14"/>
              </w:rPr>
              <w:t>ACTIVE/INACTIVE for master; ACTIVE/DISABLED for User/membership; ACTIVE/COMPLETED Campaign; OPEN/RESOLVED Issue.</w:t>
            </w:r>
          </w:p>
        </w:tc>
      </w:tr>
      <w:tr>
        <w:tc>
          <w:tcPr>
            <w:tcW w:type="dxa" w:w="7625"/>
            <w:vAlign w:val="top"/>
          </w:tcPr>
          <w:p>
            <w:pPr>
              <w:spacing w:after="0"/>
            </w:pPr>
            <w:r>
              <w:rPr>
                <w:sz w:val="14"/>
              </w:rPr>
              <w:t>Date/time</w:t>
            </w:r>
          </w:p>
        </w:tc>
        <w:tc>
          <w:tcPr>
            <w:tcW w:type="dxa" w:w="7625"/>
            <w:vAlign w:val="top"/>
          </w:tcPr>
          <w:p>
            <w:pPr>
              <w:spacing w:after="0"/>
            </w:pPr>
            <w:r>
              <w:rPr>
                <w:sz w:val="14"/>
              </w:rPr>
              <w:t>UTC timestamps as ISO-8601 with Z/offset; campaign dates as YYYY-MM-DD.</w:t>
            </w:r>
          </w:p>
        </w:tc>
      </w:tr>
      <w:tr>
        <w:tc>
          <w:tcPr>
            <w:tcW w:type="dxa" w:w="7625"/>
            <w:vAlign w:val="top"/>
          </w:tcPr>
          <w:p>
            <w:pPr>
              <w:spacing w:after="0"/>
            </w:pPr>
            <w:r>
              <w:rPr>
                <w:sz w:val="14"/>
              </w:rPr>
              <w:t>Decimals</w:t>
            </w:r>
          </w:p>
        </w:tc>
        <w:tc>
          <w:tcPr>
            <w:tcW w:type="dxa" w:w="7625"/>
            <w:vAlign w:val="top"/>
          </w:tcPr>
          <w:p>
            <w:pPr>
              <w:spacing w:after="0"/>
            </w:pPr>
            <w:r>
              <w:rPr>
                <w:sz w:val="14"/>
              </w:rPr>
              <w:t>JSON decimal numbers/strings must round-trip exactly; Android maps to BigDecimal, never Double for governed calculation values.</w:t>
            </w:r>
          </w:p>
        </w:tc>
      </w:tr>
    </w:tbl>
    <w:p>
      <w:pPr>
        <w:spacing w:after="20"/>
      </w:pPr>
    </w:p>
    <w:p>
      <w:pPr>
        <w:pStyle w:val="Heading2"/>
      </w:pPr>
      <w:r>
        <w:t>6.1 Mutation response rule</w:t>
      </w:r>
    </w:p>
    <w:p>
      <w:pPr>
        <w:spacing w:after="80"/>
      </w:pPr>
      <w:r>
        <w:t>A successful mutation returns the authoritative server representation or an explicit acknowledgement containing the authoritative entityVersion. Android reconciles that response into Room. A successful HTTP response never authorizes UI to bypass local repository reconciliation.</w:t>
      </w:r>
    </w:p>
    <w:p>
      <w:pPr>
        <w:pStyle w:val="Heading2"/>
      </w:pPr>
      <w:r>
        <w:t>6.2 Null, absent and patch semantics</w:t>
      </w:r>
    </w:p>
    <w:p>
      <w:pPr>
        <w:pStyle w:val="ListBullet"/>
        <w:spacing w:after="20"/>
      </w:pPr>
      <w:r>
        <w:t>`PATCH` changes only explicitly supplied mutable fields.</w:t>
      </w:r>
    </w:p>
    <w:p>
      <w:pPr>
        <w:pStyle w:val="ListBullet"/>
        <w:spacing w:after="20"/>
      </w:pPr>
      <w:r>
        <w:t>Omitted property means unchanged. Explicit `null` is accepted only for fields whose frozen domain contract permits null/clearing.</w:t>
      </w:r>
    </w:p>
    <w:p>
      <w:pPr>
        <w:pStyle w:val="ListBullet"/>
        <w:spacing w:after="20"/>
      </w:pPr>
      <w:r>
        <w:t>Immutable IDs, frozen version IDs, historical snapshot fields and server-controlled fields are rejected if supplied as mutation overrides.</w:t>
      </w:r>
    </w:p>
    <w:p>
      <w:pPr>
        <w:pStyle w:val="Heading1"/>
      </w:pPr>
      <w:r>
        <w:t>7. Cursor pagination, filtering and search</w:t>
      </w:r>
    </w:p>
    <w:p>
      <w:pPr>
        <w:pStyle w:val="ListBullet"/>
        <w:spacing w:after="20"/>
      </w:pPr>
      <w:r>
        <w:t>Large server collections use opaque cursor pagination.</w:t>
      </w:r>
    </w:p>
    <w:p>
      <w:pPr>
        <w:pStyle w:val="ListBullet"/>
        <w:spacing w:after="20"/>
      </w:pPr>
      <w:r>
        <w:t>Query shape: `cursor`, `limit`, plus endpoint-specific filters/search/sort. `nextCursor` is opaque.</w:t>
      </w:r>
    </w:p>
    <w:p>
      <w:pPr>
        <w:pStyle w:val="ListBullet"/>
        <w:spacing w:after="20"/>
      </w:pPr>
      <w:r>
        <w:t>Default/max page size is server-controlled operational configuration; it is not a business rule and must not create fixed UI pagination.</w:t>
      </w:r>
    </w:p>
    <w:p>
      <w:pPr>
        <w:pStyle w:val="ListBullet"/>
        <w:spacing w:after="20"/>
      </w:pPr>
      <w:r>
        <w:t>Stable ordering includes a deterministic UUID tie-breaker.</w:t>
      </w:r>
    </w:p>
    <w:p>
      <w:pPr>
        <w:pStyle w:val="ListBullet"/>
        <w:spacing w:after="20"/>
      </w:pPr>
      <w:r>
        <w:t>Search/filter behavior must preserve tenant authorization and frozen field/search contracts.</w:t>
      </w:r>
    </w:p>
    <w:p>
      <w:pPr>
        <w:pStyle w:val="ListBullet"/>
        <w:spacing w:after="20"/>
      </w:pPr>
      <w:r>
        <w:t>Offline Campaign package is complete for assigned scope and is not dependent on paginating the next operational Stocktaking item.</w:t>
      </w:r>
    </w:p>
    <w:p>
      <w:pPr>
        <w:pStyle w:val="Heading1"/>
      </w:pPr>
      <w:r>
        <w:t>8. Error contract</w:t>
      </w:r>
    </w:p>
    <w:p>
      <w:pPr>
        <w:spacing w:after="80"/>
      </w:pPr>
      <w:r>
        <w:t>All non-success JSON API errors use:</w:t>
      </w:r>
    </w:p>
    <w:p>
      <w:r>
        <w:rPr>
          <w:rFonts w:ascii="Consolas" w:hAnsi="Consolas"/>
          <w:sz w:val="15"/>
        </w:rPr>
        <w:t>{"code":"STABLE_MACHINE_CODE","message":"User-safe message","fieldErrors":[{"field":"name","code":"REQUIRED","message":"Required"}],"correlationId":"uuid","retryable":false,"details":{}}</w:t>
      </w:r>
    </w:p>
    <w:p>
      <w:pPr>
        <w:spacing w:after="80"/>
      </w:pPr>
      <w:r>
        <w:t>Android maps code to typed outcomes. Business behavior must never parse free-text message. details is optional, safe, structured context and must never contain secrets or raw sensitive payloads.</w:t>
      </w:r>
    </w:p>
    <w:p>
      <w:pPr>
        <w:pStyle w:val="Heading2"/>
      </w:pPr>
      <w:r>
        <w:t>8.1 HTTP status semantics</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HTTP</w:t>
            </w:r>
          </w:p>
        </w:tc>
        <w:tc>
          <w:tcPr>
            <w:tcW w:type="dxa" w:w="7625"/>
            <w:shd w:fill="D9EAF7"/>
          </w:tcPr>
          <w:p>
            <w:r>
              <w:rPr>
                <w:b/>
                <w:sz w:val="14"/>
              </w:rPr>
              <w:t>Meaning</w:t>
            </w:r>
          </w:p>
        </w:tc>
      </w:tr>
      <w:tr>
        <w:tc>
          <w:tcPr>
            <w:tcW w:type="dxa" w:w="7625"/>
            <w:vAlign w:val="top"/>
          </w:tcPr>
          <w:p>
            <w:pPr>
              <w:spacing w:after="0"/>
            </w:pPr>
            <w:r>
              <w:rPr>
                <w:sz w:val="14"/>
              </w:rPr>
              <w:t>200/201</w:t>
            </w:r>
          </w:p>
        </w:tc>
        <w:tc>
          <w:tcPr>
            <w:tcW w:type="dxa" w:w="7625"/>
            <w:vAlign w:val="top"/>
          </w:tcPr>
          <w:p>
            <w:pPr>
              <w:spacing w:after="0"/>
            </w:pPr>
            <w:r>
              <w:rPr>
                <w:sz w:val="14"/>
              </w:rPr>
              <w:t>Successful read/create/command with body.</w:t>
            </w:r>
          </w:p>
        </w:tc>
      </w:tr>
      <w:tr>
        <w:tc>
          <w:tcPr>
            <w:tcW w:type="dxa" w:w="7625"/>
            <w:vAlign w:val="top"/>
          </w:tcPr>
          <w:p>
            <w:pPr>
              <w:spacing w:after="0"/>
            </w:pPr>
            <w:r>
              <w:rPr>
                <w:sz w:val="14"/>
              </w:rPr>
              <w:t>202</w:t>
            </w:r>
          </w:p>
        </w:tc>
        <w:tc>
          <w:tcPr>
            <w:tcW w:type="dxa" w:w="7625"/>
            <w:vAlign w:val="top"/>
          </w:tcPr>
          <w:p>
            <w:pPr>
              <w:spacing w:after="0"/>
            </w:pPr>
            <w:r>
              <w:rPr>
                <w:sz w:val="14"/>
              </w:rPr>
              <w:t>Accepted asynchronous/non-sensitive acknowledgement where immediate completion is not required.</w:t>
            </w:r>
          </w:p>
        </w:tc>
      </w:tr>
      <w:tr>
        <w:tc>
          <w:tcPr>
            <w:tcW w:type="dxa" w:w="7625"/>
            <w:vAlign w:val="top"/>
          </w:tcPr>
          <w:p>
            <w:pPr>
              <w:spacing w:after="0"/>
            </w:pPr>
            <w:r>
              <w:rPr>
                <w:sz w:val="14"/>
              </w:rPr>
              <w:t>204</w:t>
            </w:r>
          </w:p>
        </w:tc>
        <w:tc>
          <w:tcPr>
            <w:tcW w:type="dxa" w:w="7625"/>
            <w:vAlign w:val="top"/>
          </w:tcPr>
          <w:p>
            <w:pPr>
              <w:spacing w:after="0"/>
            </w:pPr>
            <w:r>
              <w:rPr>
                <w:sz w:val="14"/>
              </w:rPr>
              <w:t>Successful command/delete with no body.</w:t>
            </w:r>
          </w:p>
        </w:tc>
      </w:tr>
      <w:tr>
        <w:tc>
          <w:tcPr>
            <w:tcW w:type="dxa" w:w="7625"/>
            <w:vAlign w:val="top"/>
          </w:tcPr>
          <w:p>
            <w:pPr>
              <w:spacing w:after="0"/>
            </w:pPr>
            <w:r>
              <w:rPr>
                <w:sz w:val="14"/>
              </w:rPr>
              <w:t>400</w:t>
            </w:r>
          </w:p>
        </w:tc>
        <w:tc>
          <w:tcPr>
            <w:tcW w:type="dxa" w:w="7625"/>
            <w:vAlign w:val="top"/>
          </w:tcPr>
          <w:p>
            <w:pPr>
              <w:spacing w:after="0"/>
            </w:pPr>
            <w:r>
              <w:rPr>
                <w:sz w:val="14"/>
              </w:rPr>
              <w:t>Malformed request/protocol syntax.</w:t>
            </w:r>
          </w:p>
        </w:tc>
      </w:tr>
      <w:tr>
        <w:tc>
          <w:tcPr>
            <w:tcW w:type="dxa" w:w="7625"/>
            <w:vAlign w:val="top"/>
          </w:tcPr>
          <w:p>
            <w:pPr>
              <w:spacing w:after="0"/>
            </w:pPr>
            <w:r>
              <w:rPr>
                <w:sz w:val="14"/>
              </w:rPr>
              <w:t>401</w:t>
            </w:r>
          </w:p>
        </w:tc>
        <w:tc>
          <w:tcPr>
            <w:tcW w:type="dxa" w:w="7625"/>
            <w:vAlign w:val="top"/>
          </w:tcPr>
          <w:p>
            <w:pPr>
              <w:spacing w:after="0"/>
            </w:pPr>
            <w:r>
              <w:rPr>
                <w:sz w:val="14"/>
              </w:rPr>
              <w:t>Missing/invalid/expired authentication.</w:t>
            </w:r>
          </w:p>
        </w:tc>
      </w:tr>
      <w:tr>
        <w:tc>
          <w:tcPr>
            <w:tcW w:type="dxa" w:w="7625"/>
            <w:vAlign w:val="top"/>
          </w:tcPr>
          <w:p>
            <w:pPr>
              <w:spacing w:after="0"/>
            </w:pPr>
            <w:r>
              <w:rPr>
                <w:sz w:val="14"/>
              </w:rPr>
              <w:t>403</w:t>
            </w:r>
          </w:p>
        </w:tc>
        <w:tc>
          <w:tcPr>
            <w:tcW w:type="dxa" w:w="7625"/>
            <w:vAlign w:val="top"/>
          </w:tcPr>
          <w:p>
            <w:pPr>
              <w:spacing w:after="0"/>
            </w:pPr>
            <w:r>
              <w:rPr>
                <w:sz w:val="14"/>
              </w:rPr>
              <w:t>Authenticated but not authorized, disabled, or outside permitted scope.</w:t>
            </w:r>
          </w:p>
        </w:tc>
      </w:tr>
      <w:tr>
        <w:tc>
          <w:tcPr>
            <w:tcW w:type="dxa" w:w="7625"/>
            <w:vAlign w:val="top"/>
          </w:tcPr>
          <w:p>
            <w:pPr>
              <w:spacing w:after="0"/>
            </w:pPr>
            <w:r>
              <w:rPr>
                <w:sz w:val="14"/>
              </w:rPr>
              <w:t>404</w:t>
            </w:r>
          </w:p>
        </w:tc>
        <w:tc>
          <w:tcPr>
            <w:tcW w:type="dxa" w:w="7625"/>
            <w:vAlign w:val="top"/>
          </w:tcPr>
          <w:p>
            <w:pPr>
              <w:spacing w:after="0"/>
            </w:pPr>
            <w:r>
              <w:rPr>
                <w:sz w:val="14"/>
              </w:rPr>
              <w:t>Resource not available in authorized lookup context.</w:t>
            </w:r>
          </w:p>
        </w:tc>
      </w:tr>
      <w:tr>
        <w:tc>
          <w:tcPr>
            <w:tcW w:type="dxa" w:w="7625"/>
            <w:vAlign w:val="top"/>
          </w:tcPr>
          <w:p>
            <w:pPr>
              <w:spacing w:after="0"/>
            </w:pPr>
            <w:r>
              <w:rPr>
                <w:sz w:val="14"/>
              </w:rPr>
              <w:t>409</w:t>
            </w:r>
          </w:p>
        </w:tc>
        <w:tc>
          <w:tcPr>
            <w:tcW w:type="dxa" w:w="7625"/>
            <w:vAlign w:val="top"/>
          </w:tcPr>
          <w:p>
            <w:pPr>
              <w:spacing w:after="0"/>
            </w:pPr>
            <w:r>
              <w:rPr>
                <w:sz w:val="14"/>
              </w:rPr>
              <w:t>State/version/idempotency/conflict/immutability violation.</w:t>
            </w:r>
          </w:p>
        </w:tc>
      </w:tr>
      <w:tr>
        <w:tc>
          <w:tcPr>
            <w:tcW w:type="dxa" w:w="7625"/>
            <w:vAlign w:val="top"/>
          </w:tcPr>
          <w:p>
            <w:pPr>
              <w:spacing w:after="0"/>
            </w:pPr>
            <w:r>
              <w:rPr>
                <w:sz w:val="14"/>
              </w:rPr>
              <w:t>413</w:t>
            </w:r>
          </w:p>
        </w:tc>
        <w:tc>
          <w:tcPr>
            <w:tcW w:type="dxa" w:w="7625"/>
            <w:vAlign w:val="top"/>
          </w:tcPr>
          <w:p>
            <w:pPr>
              <w:spacing w:after="0"/>
            </w:pPr>
            <w:r>
              <w:rPr>
                <w:sz w:val="14"/>
              </w:rPr>
              <w:t>Evidence payload exceeds hard transfer limit.</w:t>
            </w:r>
          </w:p>
        </w:tc>
      </w:tr>
      <w:tr>
        <w:tc>
          <w:tcPr>
            <w:tcW w:type="dxa" w:w="7625"/>
            <w:vAlign w:val="top"/>
          </w:tcPr>
          <w:p>
            <w:pPr>
              <w:spacing w:after="0"/>
            </w:pPr>
            <w:r>
              <w:rPr>
                <w:sz w:val="14"/>
              </w:rPr>
              <w:t>422</w:t>
            </w:r>
          </w:p>
        </w:tc>
        <w:tc>
          <w:tcPr>
            <w:tcW w:type="dxa" w:w="7625"/>
            <w:vAlign w:val="top"/>
          </w:tcPr>
          <w:p>
            <w:pPr>
              <w:spacing w:after="0"/>
            </w:pPr>
            <w:r>
              <w:rPr>
                <w:sz w:val="14"/>
              </w:rPr>
              <w:t>Well-formed request violates field/domain validation.</w:t>
            </w:r>
          </w:p>
        </w:tc>
      </w:tr>
      <w:tr>
        <w:tc>
          <w:tcPr>
            <w:tcW w:type="dxa" w:w="7625"/>
            <w:vAlign w:val="top"/>
          </w:tcPr>
          <w:p>
            <w:pPr>
              <w:spacing w:after="0"/>
            </w:pPr>
            <w:r>
              <w:rPr>
                <w:sz w:val="14"/>
              </w:rPr>
              <w:t>429</w:t>
            </w:r>
          </w:p>
        </w:tc>
        <w:tc>
          <w:tcPr>
            <w:tcW w:type="dxa" w:w="7625"/>
            <w:vAlign w:val="top"/>
          </w:tcPr>
          <w:p>
            <w:pPr>
              <w:spacing w:after="0"/>
            </w:pPr>
            <w:r>
              <w:rPr>
                <w:sz w:val="14"/>
              </w:rPr>
              <w:t>Rate limited; retryable according to response metadata.</w:t>
            </w:r>
          </w:p>
        </w:tc>
      </w:tr>
      <w:tr>
        <w:tc>
          <w:tcPr>
            <w:tcW w:type="dxa" w:w="7625"/>
            <w:vAlign w:val="top"/>
          </w:tcPr>
          <w:p>
            <w:pPr>
              <w:spacing w:after="0"/>
            </w:pPr>
            <w:r>
              <w:rPr>
                <w:sz w:val="14"/>
              </w:rPr>
              <w:t>5xx</w:t>
            </w:r>
          </w:p>
        </w:tc>
        <w:tc>
          <w:tcPr>
            <w:tcW w:type="dxa" w:w="7625"/>
            <w:vAlign w:val="top"/>
          </w:tcPr>
          <w:p>
            <w:pPr>
              <w:spacing w:after="0"/>
            </w:pPr>
            <w:r>
              <w:rPr>
                <w:sz w:val="14"/>
              </w:rPr>
              <w:t>Server/transient/unexpected failure; no client assumption of mutation success without idempotent reconciliation.</w:t>
            </w:r>
          </w:p>
        </w:tc>
      </w:tr>
    </w:tbl>
    <w:p>
      <w:pPr>
        <w:spacing w:after="20"/>
      </w:pPr>
    </w:p>
    <w:p>
      <w:pPr>
        <w:pStyle w:val="Heading2"/>
      </w:pPr>
      <w:r>
        <w:t>8.2 Canonical machine errors</w:t>
      </w:r>
    </w:p>
    <w:tbl>
      <w:tblPr>
        <w:tblStyle w:val="TableGrid"/>
        <w:tblW w:type="auto" w:w="0"/>
        <w:jc w:val="center"/>
        <w:tblLook w:firstColumn="1" w:firstRow="1" w:lastColumn="0" w:lastRow="0" w:noHBand="0" w:noVBand="1" w:val="04A0"/>
      </w:tblPr>
      <w:tblGrid>
        <w:gridCol w:w="3812"/>
        <w:gridCol w:w="3812"/>
        <w:gridCol w:w="3812"/>
        <w:gridCol w:w="3812"/>
      </w:tblGrid>
      <w:tr>
        <w:trPr>
          <w:tblHeader w:val="true"/>
        </w:trPr>
        <w:tc>
          <w:tcPr>
            <w:tcW w:type="dxa" w:w="3812"/>
            <w:shd w:fill="D9EAF7"/>
          </w:tcPr>
          <w:p>
            <w:r>
              <w:rPr>
                <w:b/>
                <w:sz w:val="14"/>
              </w:rPr>
              <w:t>Code</w:t>
            </w:r>
          </w:p>
        </w:tc>
        <w:tc>
          <w:tcPr>
            <w:tcW w:type="dxa" w:w="3812"/>
            <w:shd w:fill="D9EAF7"/>
          </w:tcPr>
          <w:p>
            <w:r>
              <w:rPr>
                <w:b/>
                <w:sz w:val="14"/>
              </w:rPr>
              <w:t>HTTP</w:t>
            </w:r>
          </w:p>
        </w:tc>
        <w:tc>
          <w:tcPr>
            <w:tcW w:type="dxa" w:w="3812"/>
            <w:shd w:fill="D9EAF7"/>
          </w:tcPr>
          <w:p>
            <w:r>
              <w:rPr>
                <w:b/>
                <w:sz w:val="14"/>
              </w:rPr>
              <w:t>Retryable</w:t>
            </w:r>
          </w:p>
        </w:tc>
        <w:tc>
          <w:tcPr>
            <w:tcW w:type="dxa" w:w="3812"/>
            <w:shd w:fill="D9EAF7"/>
          </w:tcPr>
          <w:p>
            <w:r>
              <w:rPr>
                <w:b/>
                <w:sz w:val="14"/>
              </w:rPr>
              <w:t>Meaning</w:t>
            </w:r>
          </w:p>
        </w:tc>
      </w:tr>
      <w:tr>
        <w:tc>
          <w:tcPr>
            <w:tcW w:type="dxa" w:w="3812"/>
            <w:vAlign w:val="top"/>
          </w:tcPr>
          <w:p>
            <w:pPr>
              <w:spacing w:after="0"/>
            </w:pPr>
            <w:r>
              <w:rPr>
                <w:sz w:val="14"/>
              </w:rPr>
              <w:t>`AUTH_INVALID_CREDENTIALS`</w:t>
            </w:r>
          </w:p>
        </w:tc>
        <w:tc>
          <w:tcPr>
            <w:tcW w:type="dxa" w:w="3812"/>
            <w:vAlign w:val="top"/>
          </w:tcPr>
          <w:p>
            <w:pPr>
              <w:spacing w:after="0"/>
            </w:pPr>
            <w:r>
              <w:rPr>
                <w:sz w:val="14"/>
              </w:rPr>
              <w:t>401</w:t>
            </w:r>
          </w:p>
        </w:tc>
        <w:tc>
          <w:tcPr>
            <w:tcW w:type="dxa" w:w="3812"/>
            <w:vAlign w:val="top"/>
          </w:tcPr>
          <w:p>
            <w:pPr>
              <w:spacing w:after="0"/>
            </w:pPr>
            <w:r>
              <w:rPr>
                <w:sz w:val="14"/>
              </w:rPr>
              <w:t>false</w:t>
            </w:r>
          </w:p>
        </w:tc>
        <w:tc>
          <w:tcPr>
            <w:tcW w:type="dxa" w:w="3812"/>
            <w:vAlign w:val="top"/>
          </w:tcPr>
          <w:p>
            <w:pPr>
              <w:spacing w:after="0"/>
            </w:pPr>
            <w:r>
              <w:rPr>
                <w:sz w:val="14"/>
              </w:rPr>
              <w:t>Sign-in credentials rejected.</w:t>
            </w:r>
          </w:p>
        </w:tc>
      </w:tr>
      <w:tr>
        <w:tc>
          <w:tcPr>
            <w:tcW w:type="dxa" w:w="3812"/>
            <w:vAlign w:val="top"/>
          </w:tcPr>
          <w:p>
            <w:pPr>
              <w:spacing w:after="0"/>
            </w:pPr>
            <w:r>
              <w:rPr>
                <w:sz w:val="14"/>
              </w:rPr>
              <w:t>`AUTH_SESSION_EXPIRED`</w:t>
            </w:r>
          </w:p>
        </w:tc>
        <w:tc>
          <w:tcPr>
            <w:tcW w:type="dxa" w:w="3812"/>
            <w:vAlign w:val="top"/>
          </w:tcPr>
          <w:p>
            <w:pPr>
              <w:spacing w:after="0"/>
            </w:pPr>
            <w:r>
              <w:rPr>
                <w:sz w:val="14"/>
              </w:rPr>
              <w:t>401</w:t>
            </w:r>
          </w:p>
        </w:tc>
        <w:tc>
          <w:tcPr>
            <w:tcW w:type="dxa" w:w="3812"/>
            <w:vAlign w:val="top"/>
          </w:tcPr>
          <w:p>
            <w:pPr>
              <w:spacing w:after="0"/>
            </w:pPr>
            <w:r>
              <w:rPr>
                <w:sz w:val="14"/>
              </w:rPr>
              <w:t>false</w:t>
            </w:r>
          </w:p>
        </w:tc>
        <w:tc>
          <w:tcPr>
            <w:tcW w:type="dxa" w:w="3812"/>
            <w:vAlign w:val="top"/>
          </w:tcPr>
          <w:p>
            <w:pPr>
              <w:spacing w:after="0"/>
            </w:pPr>
            <w:r>
              <w:rPr>
                <w:sz w:val="14"/>
              </w:rPr>
              <w:t>Session cannot be restored/refreshed.</w:t>
            </w:r>
          </w:p>
        </w:tc>
      </w:tr>
      <w:tr>
        <w:tc>
          <w:tcPr>
            <w:tcW w:type="dxa" w:w="3812"/>
            <w:vAlign w:val="top"/>
          </w:tcPr>
          <w:p>
            <w:pPr>
              <w:spacing w:after="0"/>
            </w:pPr>
            <w:r>
              <w:rPr>
                <w:sz w:val="14"/>
              </w:rPr>
              <w:t>`AUTH_USER_DISABLED`</w:t>
            </w:r>
          </w:p>
        </w:tc>
        <w:tc>
          <w:tcPr>
            <w:tcW w:type="dxa" w:w="3812"/>
            <w:vAlign w:val="top"/>
          </w:tcPr>
          <w:p>
            <w:pPr>
              <w:spacing w:after="0"/>
            </w:pPr>
            <w:r>
              <w:rPr>
                <w:sz w:val="14"/>
              </w:rPr>
              <w:t>403</w:t>
            </w:r>
          </w:p>
        </w:tc>
        <w:tc>
          <w:tcPr>
            <w:tcW w:type="dxa" w:w="3812"/>
            <w:vAlign w:val="top"/>
          </w:tcPr>
          <w:p>
            <w:pPr>
              <w:spacing w:after="0"/>
            </w:pPr>
            <w:r>
              <w:rPr>
                <w:sz w:val="14"/>
              </w:rPr>
              <w:t>false</w:t>
            </w:r>
          </w:p>
        </w:tc>
        <w:tc>
          <w:tcPr>
            <w:tcW w:type="dxa" w:w="3812"/>
            <w:vAlign w:val="top"/>
          </w:tcPr>
          <w:p>
            <w:pPr>
              <w:spacing w:after="0"/>
            </w:pPr>
            <w:r>
              <w:rPr>
                <w:sz w:val="14"/>
              </w:rPr>
              <w:t>User lifecycle is DISABLED.</w:t>
            </w:r>
          </w:p>
        </w:tc>
      </w:tr>
      <w:tr>
        <w:tc>
          <w:tcPr>
            <w:tcW w:type="dxa" w:w="3812"/>
            <w:vAlign w:val="top"/>
          </w:tcPr>
          <w:p>
            <w:pPr>
              <w:spacing w:after="0"/>
            </w:pPr>
            <w:r>
              <w:rPr>
                <w:sz w:val="14"/>
              </w:rPr>
              <w:t>`AUTH_FORBIDDEN`</w:t>
            </w:r>
          </w:p>
        </w:tc>
        <w:tc>
          <w:tcPr>
            <w:tcW w:type="dxa" w:w="3812"/>
            <w:vAlign w:val="top"/>
          </w:tcPr>
          <w:p>
            <w:pPr>
              <w:spacing w:after="0"/>
            </w:pPr>
            <w:r>
              <w:rPr>
                <w:sz w:val="14"/>
              </w:rPr>
              <w:t>403</w:t>
            </w:r>
          </w:p>
        </w:tc>
        <w:tc>
          <w:tcPr>
            <w:tcW w:type="dxa" w:w="3812"/>
            <w:vAlign w:val="top"/>
          </w:tcPr>
          <w:p>
            <w:pPr>
              <w:spacing w:after="0"/>
            </w:pPr>
            <w:r>
              <w:rPr>
                <w:sz w:val="14"/>
              </w:rPr>
              <w:t>false</w:t>
            </w:r>
          </w:p>
        </w:tc>
        <w:tc>
          <w:tcPr>
            <w:tcW w:type="dxa" w:w="3812"/>
            <w:vAlign w:val="top"/>
          </w:tcPr>
          <w:p>
            <w:pPr>
              <w:spacing w:after="0"/>
            </w:pPr>
            <w:r>
              <w:rPr>
                <w:sz w:val="14"/>
              </w:rPr>
              <w:t>Authenticated subject lacks effective permission.</w:t>
            </w:r>
          </w:p>
        </w:tc>
      </w:tr>
      <w:tr>
        <w:tc>
          <w:tcPr>
            <w:tcW w:type="dxa" w:w="3812"/>
            <w:vAlign w:val="top"/>
          </w:tcPr>
          <w:p>
            <w:pPr>
              <w:spacing w:after="0"/>
            </w:pPr>
            <w:r>
              <w:rPr>
                <w:sz w:val="14"/>
              </w:rPr>
              <w:t>`TENANT_SCOPE_VIOLATION`</w:t>
            </w:r>
          </w:p>
        </w:tc>
        <w:tc>
          <w:tcPr>
            <w:tcW w:type="dxa" w:w="3812"/>
            <w:vAlign w:val="top"/>
          </w:tcPr>
          <w:p>
            <w:pPr>
              <w:spacing w:after="0"/>
            </w:pPr>
            <w:r>
              <w:rPr>
                <w:sz w:val="14"/>
              </w:rPr>
              <w:t>403</w:t>
            </w:r>
          </w:p>
        </w:tc>
        <w:tc>
          <w:tcPr>
            <w:tcW w:type="dxa" w:w="3812"/>
            <w:vAlign w:val="top"/>
          </w:tcPr>
          <w:p>
            <w:pPr>
              <w:spacing w:after="0"/>
            </w:pPr>
            <w:r>
              <w:rPr>
                <w:sz w:val="14"/>
              </w:rPr>
              <w:t>false</w:t>
            </w:r>
          </w:p>
        </w:tc>
        <w:tc>
          <w:tcPr>
            <w:tcW w:type="dxa" w:w="3812"/>
            <w:vAlign w:val="top"/>
          </w:tcPr>
          <w:p>
            <w:pPr>
              <w:spacing w:after="0"/>
            </w:pPr>
            <w:r>
              <w:rPr>
                <w:sz w:val="14"/>
              </w:rPr>
              <w:t>Requested resource is outside authorized Organization scope.</w:t>
            </w:r>
          </w:p>
        </w:tc>
      </w:tr>
      <w:tr>
        <w:tc>
          <w:tcPr>
            <w:tcW w:type="dxa" w:w="3812"/>
            <w:vAlign w:val="top"/>
          </w:tcPr>
          <w:p>
            <w:pPr>
              <w:spacing w:after="0"/>
            </w:pPr>
            <w:r>
              <w:rPr>
                <w:sz w:val="14"/>
              </w:rPr>
              <w:t>`RESOURCE_NOT_FOUND`</w:t>
            </w:r>
          </w:p>
        </w:tc>
        <w:tc>
          <w:tcPr>
            <w:tcW w:type="dxa" w:w="3812"/>
            <w:vAlign w:val="top"/>
          </w:tcPr>
          <w:p>
            <w:pPr>
              <w:spacing w:after="0"/>
            </w:pPr>
            <w:r>
              <w:rPr>
                <w:sz w:val="14"/>
              </w:rPr>
              <w:t>404</w:t>
            </w:r>
          </w:p>
        </w:tc>
        <w:tc>
          <w:tcPr>
            <w:tcW w:type="dxa" w:w="3812"/>
            <w:vAlign w:val="top"/>
          </w:tcPr>
          <w:p>
            <w:pPr>
              <w:spacing w:after="0"/>
            </w:pPr>
            <w:r>
              <w:rPr>
                <w:sz w:val="14"/>
              </w:rPr>
              <w:t>false</w:t>
            </w:r>
          </w:p>
        </w:tc>
        <w:tc>
          <w:tcPr>
            <w:tcW w:type="dxa" w:w="3812"/>
            <w:vAlign w:val="top"/>
          </w:tcPr>
          <w:p>
            <w:pPr>
              <w:spacing w:after="0"/>
            </w:pPr>
            <w:r>
              <w:rPr>
                <w:sz w:val="14"/>
              </w:rPr>
              <w:t>Authorized lookup has no matching resource.</w:t>
            </w:r>
          </w:p>
        </w:tc>
      </w:tr>
      <w:tr>
        <w:tc>
          <w:tcPr>
            <w:tcW w:type="dxa" w:w="3812"/>
            <w:vAlign w:val="top"/>
          </w:tcPr>
          <w:p>
            <w:pPr>
              <w:spacing w:after="0"/>
            </w:pPr>
            <w:r>
              <w:rPr>
                <w:sz w:val="14"/>
              </w:rPr>
              <w:t>`VALIDATION_FAILED`</w:t>
            </w:r>
          </w:p>
        </w:tc>
        <w:tc>
          <w:tcPr>
            <w:tcW w:type="dxa" w:w="3812"/>
            <w:vAlign w:val="top"/>
          </w:tcPr>
          <w:p>
            <w:pPr>
              <w:spacing w:after="0"/>
            </w:pPr>
            <w:r>
              <w:rPr>
                <w:sz w:val="14"/>
              </w:rPr>
              <w:t>422</w:t>
            </w:r>
          </w:p>
        </w:tc>
        <w:tc>
          <w:tcPr>
            <w:tcW w:type="dxa" w:w="3812"/>
            <w:vAlign w:val="top"/>
          </w:tcPr>
          <w:p>
            <w:pPr>
              <w:spacing w:after="0"/>
            </w:pPr>
            <w:r>
              <w:rPr>
                <w:sz w:val="14"/>
              </w:rPr>
              <w:t>false</w:t>
            </w:r>
          </w:p>
        </w:tc>
        <w:tc>
          <w:tcPr>
            <w:tcW w:type="dxa" w:w="3812"/>
            <w:vAlign w:val="top"/>
          </w:tcPr>
          <w:p>
            <w:pPr>
              <w:spacing w:after="0"/>
            </w:pPr>
            <w:r>
              <w:rPr>
                <w:sz w:val="14"/>
              </w:rPr>
              <w:t>One or more field/domain validations failed; fieldErrors supplied where applicable.</w:t>
            </w:r>
          </w:p>
        </w:tc>
      </w:tr>
      <w:tr>
        <w:tc>
          <w:tcPr>
            <w:tcW w:type="dxa" w:w="3812"/>
            <w:vAlign w:val="top"/>
          </w:tcPr>
          <w:p>
            <w:pPr>
              <w:spacing w:after="0"/>
            </w:pPr>
            <w:r>
              <w:rPr>
                <w:sz w:val="14"/>
              </w:rPr>
              <w:t>`ENTITY_VERSION_CONFLICT`</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baseEntityVersion is stale; authoritative version/context returned or retrievable.</w:t>
            </w:r>
          </w:p>
        </w:tc>
      </w:tr>
      <w:tr>
        <w:tc>
          <w:tcPr>
            <w:tcW w:type="dxa" w:w="3812"/>
            <w:vAlign w:val="top"/>
          </w:tcPr>
          <w:p>
            <w:pPr>
              <w:spacing w:after="0"/>
            </w:pPr>
            <w:r>
              <w:rPr>
                <w:sz w:val="14"/>
              </w:rPr>
              <w:t>`IDEMPOTENCY_KEY_REUSE_MISMATCH`</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Same key was reused with a different logical request.</w:t>
            </w:r>
          </w:p>
        </w:tc>
      </w:tr>
      <w:tr>
        <w:tc>
          <w:tcPr>
            <w:tcW w:type="dxa" w:w="3812"/>
            <w:vAlign w:val="top"/>
          </w:tcPr>
          <w:p>
            <w:pPr>
              <w:spacing w:after="0"/>
            </w:pPr>
            <w:r>
              <w:rPr>
                <w:sz w:val="14"/>
              </w:rPr>
              <w:t>`CAMPAIGN_SCOPE_FROZEN`</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Attempt to modify launched scope.</w:t>
            </w:r>
          </w:p>
        </w:tc>
      </w:tr>
      <w:tr>
        <w:tc>
          <w:tcPr>
            <w:tcW w:type="dxa" w:w="3812"/>
            <w:vAlign w:val="top"/>
          </w:tcPr>
          <w:p>
            <w:pPr>
              <w:spacing w:after="0"/>
            </w:pPr>
            <w:r>
              <w:rPr>
                <w:sz w:val="14"/>
              </w:rPr>
              <w:t>`CAMPAIGN_COMPLETED_IMMUTABLE`</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Mutation attempted against completed immutable context.</w:t>
            </w:r>
          </w:p>
        </w:tc>
      </w:tr>
      <w:tr>
        <w:tc>
          <w:tcPr>
            <w:tcW w:type="dxa" w:w="3812"/>
            <w:vAlign w:val="top"/>
          </w:tcPr>
          <w:p>
            <w:pPr>
              <w:spacing w:after="0"/>
            </w:pPr>
            <w:r>
              <w:rPr>
                <w:sz w:val="14"/>
              </w:rPr>
              <w:t>`CAMPAIGN_TEAM_REQUIRED`</w:t>
            </w:r>
          </w:p>
        </w:tc>
        <w:tc>
          <w:tcPr>
            <w:tcW w:type="dxa" w:w="3812"/>
            <w:vAlign w:val="top"/>
          </w:tcPr>
          <w:p>
            <w:pPr>
              <w:spacing w:after="0"/>
            </w:pPr>
            <w:r>
              <w:rPr>
                <w:sz w:val="14"/>
              </w:rPr>
              <w:t>422</w:t>
            </w:r>
          </w:p>
        </w:tc>
        <w:tc>
          <w:tcPr>
            <w:tcW w:type="dxa" w:w="3812"/>
            <w:vAlign w:val="top"/>
          </w:tcPr>
          <w:p>
            <w:pPr>
              <w:spacing w:after="0"/>
            </w:pPr>
            <w:r>
              <w:rPr>
                <w:sz w:val="14"/>
              </w:rPr>
              <w:t>false</w:t>
            </w:r>
          </w:p>
        </w:tc>
        <w:tc>
          <w:tcPr>
            <w:tcW w:type="dxa" w:w="3812"/>
            <w:vAlign w:val="top"/>
          </w:tcPr>
          <w:p>
            <w:pPr>
              <w:spacing w:after="0"/>
            </w:pPr>
            <w:r>
              <w:rPr>
                <w:sz w:val="14"/>
              </w:rPr>
              <w:t>Launch requires at least one team member.</w:t>
            </w:r>
          </w:p>
        </w:tc>
      </w:tr>
      <w:tr>
        <w:tc>
          <w:tcPr>
            <w:tcW w:type="dxa" w:w="3812"/>
            <w:vAlign w:val="top"/>
          </w:tcPr>
          <w:p>
            <w:pPr>
              <w:spacing w:after="0"/>
            </w:pPr>
            <w:r>
              <w:rPr>
                <w:sz w:val="14"/>
              </w:rPr>
              <w:t>`LAST_ACTIVE_ADMIN`</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Membership mutation would leave no ACTIVE Admin.</w:t>
            </w:r>
          </w:p>
        </w:tc>
      </w:tr>
      <w:tr>
        <w:tc>
          <w:tcPr>
            <w:tcW w:type="dxa" w:w="3812"/>
            <w:vAlign w:val="top"/>
          </w:tcPr>
          <w:p>
            <w:pPr>
              <w:spacing w:after="0"/>
            </w:pPr>
            <w:r>
              <w:rPr>
                <w:sz w:val="14"/>
              </w:rPr>
              <w:t>`STOCKTAKING_NOT_TEAM_MEMBER`</w:t>
            </w:r>
          </w:p>
        </w:tc>
        <w:tc>
          <w:tcPr>
            <w:tcW w:type="dxa" w:w="3812"/>
            <w:vAlign w:val="top"/>
          </w:tcPr>
          <w:p>
            <w:pPr>
              <w:spacing w:after="0"/>
            </w:pPr>
            <w:r>
              <w:rPr>
                <w:sz w:val="14"/>
              </w:rPr>
              <w:t>403</w:t>
            </w:r>
          </w:p>
        </w:tc>
        <w:tc>
          <w:tcPr>
            <w:tcW w:type="dxa" w:w="3812"/>
            <w:vAlign w:val="top"/>
          </w:tcPr>
          <w:p>
            <w:pPr>
              <w:spacing w:after="0"/>
            </w:pPr>
            <w:r>
              <w:rPr>
                <w:sz w:val="14"/>
              </w:rPr>
              <w:t>false</w:t>
            </w:r>
          </w:p>
        </w:tc>
        <w:tc>
          <w:tcPr>
            <w:tcW w:type="dxa" w:w="3812"/>
            <w:vAlign w:val="top"/>
          </w:tcPr>
          <w:p>
            <w:pPr>
              <w:spacing w:after="0"/>
            </w:pPr>
            <w:r>
              <w:rPr>
                <w:sz w:val="14"/>
              </w:rPr>
              <w:t>Stocktaking mutation requires active Campaign Team assignment.</w:t>
            </w:r>
          </w:p>
        </w:tc>
      </w:tr>
      <w:tr>
        <w:tc>
          <w:tcPr>
            <w:tcW w:type="dxa" w:w="3812"/>
            <w:vAlign w:val="top"/>
          </w:tcPr>
          <w:p>
            <w:pPr>
              <w:spacing w:after="0"/>
            </w:pPr>
            <w:r>
              <w:rPr>
                <w:sz w:val="14"/>
              </w:rPr>
              <w:t>`STOCKTAKING_REVISION_STALE`</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Working revision/currentRevision changed.</w:t>
            </w:r>
          </w:p>
        </w:tc>
      </w:tr>
      <w:tr>
        <w:tc>
          <w:tcPr>
            <w:tcW w:type="dxa" w:w="3812"/>
            <w:vAlign w:val="top"/>
          </w:tcPr>
          <w:p>
            <w:pPr>
              <w:spacing w:after="0"/>
            </w:pPr>
            <w:r>
              <w:rPr>
                <w:sz w:val="14"/>
              </w:rPr>
              <w:t>`STOCKTAKING_VALIDATION_FAILED`</w:t>
            </w:r>
          </w:p>
        </w:tc>
        <w:tc>
          <w:tcPr>
            <w:tcW w:type="dxa" w:w="3812"/>
            <w:vAlign w:val="top"/>
          </w:tcPr>
          <w:p>
            <w:pPr>
              <w:spacing w:after="0"/>
            </w:pPr>
            <w:r>
              <w:rPr>
                <w:sz w:val="14"/>
              </w:rPr>
              <w:t>422</w:t>
            </w:r>
          </w:p>
        </w:tc>
        <w:tc>
          <w:tcPr>
            <w:tcW w:type="dxa" w:w="3812"/>
            <w:vAlign w:val="top"/>
          </w:tcPr>
          <w:p>
            <w:pPr>
              <w:spacing w:after="0"/>
            </w:pPr>
            <w:r>
              <w:rPr>
                <w:sz w:val="14"/>
              </w:rPr>
              <w:t>false</w:t>
            </w:r>
          </w:p>
        </w:tc>
        <w:tc>
          <w:tcPr>
            <w:tcW w:type="dxa" w:w="3812"/>
            <w:vAlign w:val="top"/>
          </w:tcPr>
          <w:p>
            <w:pPr>
              <w:spacing w:after="0"/>
            </w:pPr>
            <w:r>
              <w:rPr>
                <w:sz w:val="14"/>
              </w:rPr>
              <w:t>Validation invariant failed.</w:t>
            </w:r>
          </w:p>
        </w:tc>
      </w:tr>
      <w:tr>
        <w:tc>
          <w:tcPr>
            <w:tcW w:type="dxa" w:w="3812"/>
            <w:vAlign w:val="top"/>
          </w:tcPr>
          <w:p>
            <w:pPr>
              <w:spacing w:after="0"/>
            </w:pPr>
            <w:r>
              <w:rPr>
                <w:sz w:val="14"/>
              </w:rPr>
              <w:t>`CALCULATION_STALE_FINGERPRINT`</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Calculation no longer matches current inputs.</w:t>
            </w:r>
          </w:p>
        </w:tc>
      </w:tr>
      <w:tr>
        <w:tc>
          <w:tcPr>
            <w:tcW w:type="dxa" w:w="3812"/>
            <w:vAlign w:val="top"/>
          </w:tcPr>
          <w:p>
            <w:pPr>
              <w:spacing w:after="0"/>
            </w:pPr>
            <w:r>
              <w:rPr>
                <w:sz w:val="14"/>
              </w:rPr>
              <w:t>`CALCULATION_INVALID_INPUT`</w:t>
            </w:r>
          </w:p>
        </w:tc>
        <w:tc>
          <w:tcPr>
            <w:tcW w:type="dxa" w:w="3812"/>
            <w:vAlign w:val="top"/>
          </w:tcPr>
          <w:p>
            <w:pPr>
              <w:spacing w:after="0"/>
            </w:pPr>
            <w:r>
              <w:rPr>
                <w:sz w:val="14"/>
              </w:rPr>
              <w:t>422</w:t>
            </w:r>
          </w:p>
        </w:tc>
        <w:tc>
          <w:tcPr>
            <w:tcW w:type="dxa" w:w="3812"/>
            <w:vAlign w:val="top"/>
          </w:tcPr>
          <w:p>
            <w:pPr>
              <w:spacing w:after="0"/>
            </w:pPr>
            <w:r>
              <w:rPr>
                <w:sz w:val="14"/>
              </w:rPr>
              <w:t>false</w:t>
            </w:r>
          </w:p>
        </w:tc>
        <w:tc>
          <w:tcPr>
            <w:tcW w:type="dxa" w:w="3812"/>
            <w:vAlign w:val="top"/>
          </w:tcPr>
          <w:p>
            <w:pPr>
              <w:spacing w:after="0"/>
            </w:pPr>
            <w:r>
              <w:rPr>
                <w:sz w:val="14"/>
              </w:rPr>
              <w:t>Invalid/mixed datum, invalid fill, unsupported version or required formula data missing.</w:t>
            </w:r>
          </w:p>
        </w:tc>
      </w:tr>
      <w:tr>
        <w:tc>
          <w:tcPr>
            <w:tcW w:type="dxa" w:w="3812"/>
            <w:vAlign w:val="top"/>
          </w:tcPr>
          <w:p>
            <w:pPr>
              <w:spacing w:after="0"/>
            </w:pPr>
            <w:r>
              <w:rPr>
                <w:sz w:val="14"/>
              </w:rPr>
              <w:t>`EVIDENCE_PHOTO_LIMIT`</w:t>
            </w:r>
          </w:p>
        </w:tc>
        <w:tc>
          <w:tcPr>
            <w:tcW w:type="dxa" w:w="3812"/>
            <w:vAlign w:val="top"/>
          </w:tcPr>
          <w:p>
            <w:pPr>
              <w:spacing w:after="0"/>
            </w:pPr>
            <w:r>
              <w:rPr>
                <w:sz w:val="14"/>
              </w:rPr>
              <w:t>422</w:t>
            </w:r>
          </w:p>
        </w:tc>
        <w:tc>
          <w:tcPr>
            <w:tcW w:type="dxa" w:w="3812"/>
            <w:vAlign w:val="top"/>
          </w:tcPr>
          <w:p>
            <w:pPr>
              <w:spacing w:after="0"/>
            </w:pPr>
            <w:r>
              <w:rPr>
                <w:sz w:val="14"/>
              </w:rPr>
              <w:t>false</w:t>
            </w:r>
          </w:p>
        </w:tc>
        <w:tc>
          <w:tcPr>
            <w:tcW w:type="dxa" w:w="3812"/>
            <w:vAlign w:val="top"/>
          </w:tcPr>
          <w:p>
            <w:pPr>
              <w:spacing w:after="0"/>
            </w:pPr>
            <w:r>
              <w:rPr>
                <w:sz w:val="14"/>
              </w:rPr>
              <w:t>Maximum five PHOTO for the applicable revision/Issue.</w:t>
            </w:r>
          </w:p>
        </w:tc>
      </w:tr>
      <w:tr>
        <w:tc>
          <w:tcPr>
            <w:tcW w:type="dxa" w:w="3812"/>
            <w:vAlign w:val="top"/>
          </w:tcPr>
          <w:p>
            <w:pPr>
              <w:spacing w:after="0"/>
            </w:pPr>
            <w:r>
              <w:rPr>
                <w:sz w:val="14"/>
              </w:rPr>
              <w:t>`EVIDENCE_HASH_MISMATCH`</w:t>
            </w:r>
          </w:p>
        </w:tc>
        <w:tc>
          <w:tcPr>
            <w:tcW w:type="dxa" w:w="3812"/>
            <w:vAlign w:val="top"/>
          </w:tcPr>
          <w:p>
            <w:pPr>
              <w:spacing w:after="0"/>
            </w:pPr>
            <w:r>
              <w:rPr>
                <w:sz w:val="14"/>
              </w:rPr>
              <w:t>422</w:t>
            </w:r>
          </w:p>
        </w:tc>
        <w:tc>
          <w:tcPr>
            <w:tcW w:type="dxa" w:w="3812"/>
            <w:vAlign w:val="top"/>
          </w:tcPr>
          <w:p>
            <w:pPr>
              <w:spacing w:after="0"/>
            </w:pPr>
            <w:r>
              <w:rPr>
                <w:sz w:val="14"/>
              </w:rPr>
              <w:t>false</w:t>
            </w:r>
          </w:p>
        </w:tc>
        <w:tc>
          <w:tcPr>
            <w:tcW w:type="dxa" w:w="3812"/>
            <w:vAlign w:val="top"/>
          </w:tcPr>
          <w:p>
            <w:pPr>
              <w:spacing w:after="0"/>
            </w:pPr>
            <w:r>
              <w:rPr>
                <w:sz w:val="14"/>
              </w:rPr>
              <w:t>Uploaded binary does not match declared SHA-256.</w:t>
            </w:r>
          </w:p>
        </w:tc>
      </w:tr>
      <w:tr>
        <w:tc>
          <w:tcPr>
            <w:tcW w:type="dxa" w:w="3812"/>
            <w:vAlign w:val="top"/>
          </w:tcPr>
          <w:p>
            <w:pPr>
              <w:spacing w:after="0"/>
            </w:pPr>
            <w:r>
              <w:rPr>
                <w:sz w:val="14"/>
              </w:rPr>
              <w:t>`EVIDENCE_TOO_LARGE`</w:t>
            </w:r>
          </w:p>
        </w:tc>
        <w:tc>
          <w:tcPr>
            <w:tcW w:type="dxa" w:w="3812"/>
            <w:vAlign w:val="top"/>
          </w:tcPr>
          <w:p>
            <w:pPr>
              <w:spacing w:after="0"/>
            </w:pPr>
            <w:r>
              <w:rPr>
                <w:sz w:val="14"/>
              </w:rPr>
              <w:t>413</w:t>
            </w:r>
          </w:p>
        </w:tc>
        <w:tc>
          <w:tcPr>
            <w:tcW w:type="dxa" w:w="3812"/>
            <w:vAlign w:val="top"/>
          </w:tcPr>
          <w:p>
            <w:pPr>
              <w:spacing w:after="0"/>
            </w:pPr>
            <w:r>
              <w:rPr>
                <w:sz w:val="14"/>
              </w:rPr>
              <w:t>false</w:t>
            </w:r>
          </w:p>
        </w:tc>
        <w:tc>
          <w:tcPr>
            <w:tcW w:type="dxa" w:w="3812"/>
            <w:vAlign w:val="top"/>
          </w:tcPr>
          <w:p>
            <w:pPr>
              <w:spacing w:after="0"/>
            </w:pPr>
            <w:r>
              <w:rPr>
                <w:sz w:val="14"/>
              </w:rPr>
              <w:t>PHOTO exceeds hard 3 MB limit.</w:t>
            </w:r>
          </w:p>
        </w:tc>
      </w:tr>
      <w:tr>
        <w:tc>
          <w:tcPr>
            <w:tcW w:type="dxa" w:w="3812"/>
            <w:vAlign w:val="top"/>
          </w:tcPr>
          <w:p>
            <w:pPr>
              <w:spacing w:after="0"/>
            </w:pPr>
            <w:r>
              <w:rPr>
                <w:sz w:val="14"/>
              </w:rPr>
              <w:t>`EVIDENCE_IMMUTABLE`</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Validated/frozen Evidence cannot be removed/rebound.</w:t>
            </w:r>
          </w:p>
        </w:tc>
      </w:tr>
      <w:tr>
        <w:tc>
          <w:tcPr>
            <w:tcW w:type="dxa" w:w="3812"/>
            <w:vAlign w:val="top"/>
          </w:tcPr>
          <w:p>
            <w:pPr>
              <w:spacing w:after="0"/>
            </w:pPr>
            <w:r>
              <w:rPr>
                <w:sz w:val="14"/>
              </w:rPr>
              <w:t>`ISSUE_ALREADY_STATE`</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Requested transition does not change current Issue state.</w:t>
            </w:r>
          </w:p>
        </w:tc>
      </w:tr>
      <w:tr>
        <w:tc>
          <w:tcPr>
            <w:tcW w:type="dxa" w:w="3812"/>
            <w:vAlign w:val="top"/>
          </w:tcPr>
          <w:p>
            <w:pPr>
              <w:spacing w:after="0"/>
            </w:pPr>
            <w:r>
              <w:rPr>
                <w:sz w:val="14"/>
              </w:rPr>
              <w:t>`ISSUE_COMPLETED_CAMPAIGN`</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Issue cannot be reopened after Campaign completion.</w:t>
            </w:r>
          </w:p>
        </w:tc>
      </w:tr>
      <w:tr>
        <w:tc>
          <w:tcPr>
            <w:tcW w:type="dxa" w:w="3812"/>
            <w:vAlign w:val="top"/>
          </w:tcPr>
          <w:p>
            <w:pPr>
              <w:spacing w:after="0"/>
            </w:pPr>
            <w:r>
              <w:rPr>
                <w:sz w:val="14"/>
              </w:rPr>
              <w:t>`CLOSE_GUARDS_FAILED`</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Atomic Close guard evaluation failed; structured guard failures returned.</w:t>
            </w:r>
          </w:p>
        </w:tc>
      </w:tr>
      <w:tr>
        <w:tc>
          <w:tcPr>
            <w:tcW w:type="dxa" w:w="3812"/>
            <w:vAlign w:val="top"/>
          </w:tcPr>
          <w:p>
            <w:pPr>
              <w:spacing w:after="0"/>
            </w:pPr>
            <w:r>
              <w:rPr>
                <w:sz w:val="14"/>
              </w:rPr>
              <w:t>`SYNC_CONFLICT`</w:t>
            </w:r>
          </w:p>
        </w:tc>
        <w:tc>
          <w:tcPr>
            <w:tcW w:type="dxa" w:w="3812"/>
            <w:vAlign w:val="top"/>
          </w:tcPr>
          <w:p>
            <w:pPr>
              <w:spacing w:after="0"/>
            </w:pPr>
            <w:r>
              <w:rPr>
                <w:sz w:val="14"/>
              </w:rPr>
              <w:t>409</w:t>
            </w:r>
          </w:p>
        </w:tc>
        <w:tc>
          <w:tcPr>
            <w:tcW w:type="dxa" w:w="3812"/>
            <w:vAlign w:val="top"/>
          </w:tcPr>
          <w:p>
            <w:pPr>
              <w:spacing w:after="0"/>
            </w:pPr>
            <w:r>
              <w:rPr>
                <w:sz w:val="14"/>
              </w:rPr>
              <w:t>false</w:t>
            </w:r>
          </w:p>
        </w:tc>
        <w:tc>
          <w:tcPr>
            <w:tcW w:type="dxa" w:w="3812"/>
            <w:vAlign w:val="top"/>
          </w:tcPr>
          <w:p>
            <w:pPr>
              <w:spacing w:after="0"/>
            </w:pPr>
            <w:r>
              <w:rPr>
                <w:sz w:val="14"/>
              </w:rPr>
              <w:t>Critical mutation conflicts with authoritative server state.</w:t>
            </w:r>
          </w:p>
        </w:tc>
      </w:tr>
      <w:tr>
        <w:tc>
          <w:tcPr>
            <w:tcW w:type="dxa" w:w="3812"/>
            <w:vAlign w:val="top"/>
          </w:tcPr>
          <w:p>
            <w:pPr>
              <w:spacing w:after="0"/>
            </w:pPr>
            <w:r>
              <w:rPr>
                <w:sz w:val="14"/>
              </w:rPr>
              <w:t>`SYNC_DEPENDENCY_PENDING`</w:t>
            </w:r>
          </w:p>
        </w:tc>
        <w:tc>
          <w:tcPr>
            <w:tcW w:type="dxa" w:w="3812"/>
            <w:vAlign w:val="top"/>
          </w:tcPr>
          <w:p>
            <w:pPr>
              <w:spacing w:after="0"/>
            </w:pPr>
            <w:r>
              <w:rPr>
                <w:sz w:val="14"/>
              </w:rPr>
              <w:t>409</w:t>
            </w:r>
          </w:p>
        </w:tc>
        <w:tc>
          <w:tcPr>
            <w:tcW w:type="dxa" w:w="3812"/>
            <w:vAlign w:val="top"/>
          </w:tcPr>
          <w:p>
            <w:pPr>
              <w:spacing w:after="0"/>
            </w:pPr>
            <w:r>
              <w:rPr>
                <w:sz w:val="14"/>
              </w:rPr>
              <w:t>true</w:t>
            </w:r>
          </w:p>
        </w:tc>
        <w:tc>
          <w:tcPr>
            <w:tcW w:type="dxa" w:w="3812"/>
            <w:vAlign w:val="top"/>
          </w:tcPr>
          <w:p>
            <w:pPr>
              <w:spacing w:after="0"/>
            </w:pPr>
            <w:r>
              <w:rPr>
                <w:sz w:val="14"/>
              </w:rPr>
              <w:t>Dependent operation cannot apply before required parent acknowledgement.</w:t>
            </w:r>
          </w:p>
        </w:tc>
      </w:tr>
      <w:tr>
        <w:tc>
          <w:tcPr>
            <w:tcW w:type="dxa" w:w="3812"/>
            <w:vAlign w:val="top"/>
          </w:tcPr>
          <w:p>
            <w:pPr>
              <w:spacing w:after="0"/>
            </w:pPr>
            <w:r>
              <w:rPr>
                <w:sz w:val="14"/>
              </w:rPr>
              <w:t>`RATE_LIMITED`</w:t>
            </w:r>
          </w:p>
        </w:tc>
        <w:tc>
          <w:tcPr>
            <w:tcW w:type="dxa" w:w="3812"/>
            <w:vAlign w:val="top"/>
          </w:tcPr>
          <w:p>
            <w:pPr>
              <w:spacing w:after="0"/>
            </w:pPr>
            <w:r>
              <w:rPr>
                <w:sz w:val="14"/>
              </w:rPr>
              <w:t>429</w:t>
            </w:r>
          </w:p>
        </w:tc>
        <w:tc>
          <w:tcPr>
            <w:tcW w:type="dxa" w:w="3812"/>
            <w:vAlign w:val="top"/>
          </w:tcPr>
          <w:p>
            <w:pPr>
              <w:spacing w:after="0"/>
            </w:pPr>
            <w:r>
              <w:rPr>
                <w:sz w:val="14"/>
              </w:rPr>
              <w:t>true</w:t>
            </w:r>
          </w:p>
        </w:tc>
        <w:tc>
          <w:tcPr>
            <w:tcW w:type="dxa" w:w="3812"/>
            <w:vAlign w:val="top"/>
          </w:tcPr>
          <w:p>
            <w:pPr>
              <w:spacing w:after="0"/>
            </w:pPr>
            <w:r>
              <w:rPr>
                <w:sz w:val="14"/>
              </w:rPr>
              <w:t>Client should honor Retry-After.</w:t>
            </w:r>
          </w:p>
        </w:tc>
      </w:tr>
      <w:tr>
        <w:tc>
          <w:tcPr>
            <w:tcW w:type="dxa" w:w="3812"/>
            <w:vAlign w:val="top"/>
          </w:tcPr>
          <w:p>
            <w:pPr>
              <w:spacing w:after="0"/>
            </w:pPr>
            <w:r>
              <w:rPr>
                <w:sz w:val="14"/>
              </w:rPr>
              <w:t>`SERVICE_UNAVAILABLE`</w:t>
            </w:r>
          </w:p>
        </w:tc>
        <w:tc>
          <w:tcPr>
            <w:tcW w:type="dxa" w:w="3812"/>
            <w:vAlign w:val="top"/>
          </w:tcPr>
          <w:p>
            <w:pPr>
              <w:spacing w:after="0"/>
            </w:pPr>
            <w:r>
              <w:rPr>
                <w:sz w:val="14"/>
              </w:rPr>
              <w:t>503</w:t>
            </w:r>
          </w:p>
        </w:tc>
        <w:tc>
          <w:tcPr>
            <w:tcW w:type="dxa" w:w="3812"/>
            <w:vAlign w:val="top"/>
          </w:tcPr>
          <w:p>
            <w:pPr>
              <w:spacing w:after="0"/>
            </w:pPr>
            <w:r>
              <w:rPr>
                <w:sz w:val="14"/>
              </w:rPr>
              <w:t>true</w:t>
            </w:r>
          </w:p>
        </w:tc>
        <w:tc>
          <w:tcPr>
            <w:tcW w:type="dxa" w:w="3812"/>
            <w:vAlign w:val="top"/>
          </w:tcPr>
          <w:p>
            <w:pPr>
              <w:spacing w:after="0"/>
            </w:pPr>
            <w:r>
              <w:rPr>
                <w:sz w:val="14"/>
              </w:rPr>
              <w:t>Transient server/service dependency failure.</w:t>
            </w:r>
          </w:p>
        </w:tc>
      </w:tr>
      <w:tr>
        <w:tc>
          <w:tcPr>
            <w:tcW w:type="dxa" w:w="3812"/>
            <w:vAlign w:val="top"/>
          </w:tcPr>
          <w:p>
            <w:pPr>
              <w:spacing w:after="0"/>
            </w:pPr>
            <w:r>
              <w:rPr>
                <w:sz w:val="14"/>
              </w:rPr>
              <w:t>`INTERNAL_ERROR`</w:t>
            </w:r>
          </w:p>
        </w:tc>
        <w:tc>
          <w:tcPr>
            <w:tcW w:type="dxa" w:w="3812"/>
            <w:vAlign w:val="top"/>
          </w:tcPr>
          <w:p>
            <w:pPr>
              <w:spacing w:after="0"/>
            </w:pPr>
            <w:r>
              <w:rPr>
                <w:sz w:val="14"/>
              </w:rPr>
              <w:t>500</w:t>
            </w:r>
          </w:p>
        </w:tc>
        <w:tc>
          <w:tcPr>
            <w:tcW w:type="dxa" w:w="3812"/>
            <w:vAlign w:val="top"/>
          </w:tcPr>
          <w:p>
            <w:pPr>
              <w:spacing w:after="0"/>
            </w:pPr>
            <w:r>
              <w:rPr>
                <w:sz w:val="14"/>
              </w:rPr>
              <w:t>false</w:t>
            </w:r>
          </w:p>
        </w:tc>
        <w:tc>
          <w:tcPr>
            <w:tcW w:type="dxa" w:w="3812"/>
            <w:vAlign w:val="top"/>
          </w:tcPr>
          <w:p>
            <w:pPr>
              <w:spacing w:after="0"/>
            </w:pPr>
            <w:r>
              <w:rPr>
                <w:sz w:val="14"/>
              </w:rPr>
              <w:t>Unexpected server error; correlationId required.</w:t>
            </w:r>
          </w:p>
        </w:tc>
      </w:tr>
    </w:tbl>
    <w:p>
      <w:pPr>
        <w:spacing w:after="20"/>
      </w:pPr>
    </w:p>
    <w:p>
      <w:pPr>
        <w:pStyle w:val="Heading1"/>
      </w:pPr>
      <w:r>
        <w:t>9. Idempotency and optimistic concurrency</w:t>
      </w:r>
    </w:p>
    <w:p>
      <w:pPr>
        <w:pStyle w:val="ListBullet"/>
        <w:spacing w:after="20"/>
      </w:pPr>
      <w:r>
        <w:t>Every synchronized/retryable logical mutation has one stable `Idempotency-Key` / `idempotencyKey`. Retrying does not mint a new key.</w:t>
      </w:r>
    </w:p>
    <w:p>
      <w:pPr>
        <w:pStyle w:val="ListBullet"/>
        <w:spacing w:after="20"/>
      </w:pPr>
      <w:r>
        <w:t>Server stores/recognizes the logical result sufficiently to prevent duplicate business effects.</w:t>
      </w:r>
    </w:p>
    <w:p>
      <w:pPr>
        <w:pStyle w:val="ListBullet"/>
        <w:spacing w:after="20"/>
      </w:pPr>
      <w:r>
        <w:t>Reuse of the same key with a materially different request is rejected with `IDEMPOTENCY_KEY_REUSE_MISMATCH`.</w:t>
      </w:r>
    </w:p>
    <w:p>
      <w:pPr>
        <w:pStyle w:val="ListBullet"/>
        <w:spacing w:after="20"/>
      </w:pPr>
      <w:r>
        <w:t>Mutable synchronized entities use `baseEntityVersion`. If stale, server returns `ENTITY_VERSION_CONFLICT`/typed conflict and never silently overwrites.</w:t>
      </w:r>
    </w:p>
    <w:p>
      <w:pPr>
        <w:pStyle w:val="ListBullet"/>
        <w:spacing w:after="20"/>
      </w:pPr>
      <w:r>
        <w:t>Validated data cannot be overwritten by stale offline data; Completed Campaign cannot be downgraded; immutable snapshots/versions cannot be updated.</w:t>
      </w:r>
    </w:p>
    <w:p>
      <w:pPr>
        <w:pStyle w:val="ListBullet"/>
        <w:spacing w:after="20"/>
      </w:pPr>
      <w:r>
        <w:t>Same-entity FIFO and explicit SyncOperation dependencies are preserved by sync processing.</w:t>
      </w:r>
    </w:p>
    <w:p>
      <w:pPr>
        <w:pStyle w:val="Heading1"/>
      </w:pPr>
      <w:r>
        <w:t>10. Endpoint catalogue</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179"/>
            <w:shd w:fill="D9EAF7"/>
          </w:tcPr>
          <w:p>
            <w:r>
              <w:rPr>
                <w:b/>
                <w:sz w:val="12"/>
              </w:rPr>
              <w:t>Method</w:t>
            </w:r>
          </w:p>
        </w:tc>
        <w:tc>
          <w:tcPr>
            <w:tcW w:type="dxa" w:w="2179"/>
            <w:shd w:fill="D9EAF7"/>
          </w:tcPr>
          <w:p>
            <w:r>
              <w:rPr>
                <w:b/>
                <w:sz w:val="12"/>
              </w:rPr>
              <w:t>Endpoint</w:t>
            </w:r>
          </w:p>
        </w:tc>
        <w:tc>
          <w:tcPr>
            <w:tcW w:type="dxa" w:w="2179"/>
            <w:shd w:fill="D9EAF7"/>
          </w:tcPr>
          <w:p>
            <w:r>
              <w:rPr>
                <w:b/>
                <w:sz w:val="12"/>
              </w:rPr>
              <w:t>Auth</w:t>
            </w:r>
          </w:p>
        </w:tc>
        <w:tc>
          <w:tcPr>
            <w:tcW w:type="dxa" w:w="2179"/>
            <w:shd w:fill="D9EAF7"/>
          </w:tcPr>
          <w:p>
            <w:r>
              <w:rPr>
                <w:b/>
                <w:sz w:val="12"/>
              </w:rPr>
              <w:t>Effective permission</w:t>
            </w:r>
          </w:p>
        </w:tc>
        <w:tc>
          <w:tcPr>
            <w:tcW w:type="dxa" w:w="2179"/>
            <w:shd w:fill="D9EAF7"/>
          </w:tcPr>
          <w:p>
            <w:r>
              <w:rPr>
                <w:b/>
                <w:sz w:val="12"/>
              </w:rPr>
              <w:t>Request</w:t>
            </w:r>
          </w:p>
        </w:tc>
        <w:tc>
          <w:tcPr>
            <w:tcW w:type="dxa" w:w="2179"/>
            <w:shd w:fill="D9EAF7"/>
          </w:tcPr>
          <w:p>
            <w:r>
              <w:rPr>
                <w:b/>
                <w:sz w:val="12"/>
              </w:rPr>
              <w:t>Response</w:t>
            </w:r>
          </w:p>
        </w:tc>
        <w:tc>
          <w:tcPr>
            <w:tcW w:type="dxa" w:w="2179"/>
            <w:shd w:fill="D9EAF7"/>
          </w:tcPr>
          <w:p>
            <w:r>
              <w:rPr>
                <w:b/>
                <w:sz w:val="12"/>
              </w:rPr>
              <w:t>Contract note</w:t>
            </w:r>
          </w:p>
        </w:tc>
      </w:tr>
      <w:tr>
        <w:tc>
          <w:tcPr>
            <w:tcW w:type="dxa" w:w="2179"/>
            <w:vAlign w:val="top"/>
          </w:tcPr>
          <w:p>
            <w:pPr>
              <w:spacing w:after="0"/>
            </w:pPr>
            <w:r>
              <w:rPr>
                <w:sz w:val="12"/>
              </w:rPr>
              <w:t>POST</w:t>
            </w:r>
          </w:p>
        </w:tc>
        <w:tc>
          <w:tcPr>
            <w:tcW w:type="dxa" w:w="2179"/>
            <w:vAlign w:val="top"/>
          </w:tcPr>
          <w:p>
            <w:pPr>
              <w:spacing w:after="0"/>
            </w:pPr>
            <w:r>
              <w:rPr>
                <w:sz w:val="12"/>
              </w:rPr>
              <w:t>/api/v1/auth/sign-in</w:t>
            </w:r>
          </w:p>
        </w:tc>
        <w:tc>
          <w:tcPr>
            <w:tcW w:type="dxa" w:w="2179"/>
            <w:vAlign w:val="top"/>
          </w:tcPr>
          <w:p>
            <w:pPr>
              <w:spacing w:after="0"/>
            </w:pPr>
            <w:r>
              <w:rPr>
                <w:sz w:val="12"/>
              </w:rPr>
              <w:t>Public</w:t>
            </w:r>
          </w:p>
        </w:tc>
        <w:tc>
          <w:tcPr>
            <w:tcW w:type="dxa" w:w="2179"/>
            <w:vAlign w:val="top"/>
          </w:tcPr>
          <w:p>
            <w:pPr>
              <w:spacing w:after="0"/>
            </w:pPr>
            <w:r>
              <w:rPr>
                <w:sz w:val="12"/>
              </w:rPr>
              <w:t>Active User</w:t>
            </w:r>
          </w:p>
        </w:tc>
        <w:tc>
          <w:tcPr>
            <w:tcW w:type="dxa" w:w="2179"/>
            <w:vAlign w:val="top"/>
          </w:tcPr>
          <w:p>
            <w:pPr>
              <w:spacing w:after="0"/>
            </w:pPr>
            <w:r>
              <w:rPr>
                <w:sz w:val="12"/>
              </w:rPr>
              <w:t>SignInRequest</w:t>
            </w:r>
          </w:p>
        </w:tc>
        <w:tc>
          <w:tcPr>
            <w:tcW w:type="dxa" w:w="2179"/>
            <w:vAlign w:val="top"/>
          </w:tcPr>
          <w:p>
            <w:pPr>
              <w:spacing w:after="0"/>
            </w:pPr>
            <w:r>
              <w:rPr>
                <w:sz w:val="12"/>
              </w:rPr>
              <w:t>SessionResponse</w:t>
            </w:r>
          </w:p>
        </w:tc>
        <w:tc>
          <w:tcPr>
            <w:tcW w:type="dxa" w:w="2179"/>
            <w:vAlign w:val="top"/>
          </w:tcPr>
          <w:p>
            <w:pPr>
              <w:spacing w:after="0"/>
            </w:pPr>
            <w:r>
              <w:rPr>
                <w:sz w:val="12"/>
              </w:rPr>
              <w:t>Email/password. Disabled user rejected.</w:t>
            </w:r>
          </w:p>
        </w:tc>
      </w:tr>
      <w:tr>
        <w:tc>
          <w:tcPr>
            <w:tcW w:type="dxa" w:w="2179"/>
            <w:vAlign w:val="top"/>
          </w:tcPr>
          <w:p>
            <w:pPr>
              <w:spacing w:after="0"/>
            </w:pPr>
            <w:r>
              <w:rPr>
                <w:sz w:val="12"/>
              </w:rPr>
              <w:t>POST</w:t>
            </w:r>
          </w:p>
        </w:tc>
        <w:tc>
          <w:tcPr>
            <w:tcW w:type="dxa" w:w="2179"/>
            <w:vAlign w:val="top"/>
          </w:tcPr>
          <w:p>
            <w:pPr>
              <w:spacing w:after="0"/>
            </w:pPr>
            <w:r>
              <w:rPr>
                <w:sz w:val="12"/>
              </w:rPr>
              <w:t>/api/v1/auth/forgot-password</w:t>
            </w:r>
          </w:p>
        </w:tc>
        <w:tc>
          <w:tcPr>
            <w:tcW w:type="dxa" w:w="2179"/>
            <w:vAlign w:val="top"/>
          </w:tcPr>
          <w:p>
            <w:pPr>
              <w:spacing w:after="0"/>
            </w:pPr>
            <w:r>
              <w:rPr>
                <w:sz w:val="12"/>
              </w:rPr>
              <w:t>Public</w:t>
            </w:r>
          </w:p>
        </w:tc>
        <w:tc>
          <w:tcPr>
            <w:tcW w:type="dxa" w:w="2179"/>
            <w:vAlign w:val="top"/>
          </w:tcPr>
          <w:p>
            <w:pPr>
              <w:spacing w:after="0"/>
            </w:pPr>
            <w:r>
              <w:rPr>
                <w:sz w:val="12"/>
              </w:rPr>
              <w:t>Public</w:t>
            </w:r>
          </w:p>
        </w:tc>
        <w:tc>
          <w:tcPr>
            <w:tcW w:type="dxa" w:w="2179"/>
            <w:vAlign w:val="top"/>
          </w:tcPr>
          <w:p>
            <w:pPr>
              <w:spacing w:after="0"/>
            </w:pPr>
            <w:r>
              <w:rPr>
                <w:sz w:val="12"/>
              </w:rPr>
              <w:t>ForgotPasswordRequest</w:t>
            </w:r>
          </w:p>
        </w:tc>
        <w:tc>
          <w:tcPr>
            <w:tcW w:type="dxa" w:w="2179"/>
            <w:vAlign w:val="top"/>
          </w:tcPr>
          <w:p>
            <w:pPr>
              <w:spacing w:after="0"/>
            </w:pPr>
            <w:r>
              <w:rPr>
                <w:sz w:val="12"/>
              </w:rPr>
              <w:t>AcceptedResponse</w:t>
            </w:r>
          </w:p>
        </w:tc>
        <w:tc>
          <w:tcPr>
            <w:tcW w:type="dxa" w:w="2179"/>
            <w:vAlign w:val="top"/>
          </w:tcPr>
          <w:p>
            <w:pPr>
              <w:spacing w:after="0"/>
            </w:pPr>
            <w:r>
              <w:rPr>
                <w:sz w:val="12"/>
              </w:rPr>
              <w:t>Non-enumerating response.</w:t>
            </w:r>
          </w:p>
        </w:tc>
      </w:tr>
      <w:tr>
        <w:tc>
          <w:tcPr>
            <w:tcW w:type="dxa" w:w="2179"/>
            <w:vAlign w:val="top"/>
          </w:tcPr>
          <w:p>
            <w:pPr>
              <w:spacing w:after="0"/>
            </w:pPr>
            <w:r>
              <w:rPr>
                <w:sz w:val="12"/>
              </w:rPr>
              <w:t>POST</w:t>
            </w:r>
          </w:p>
        </w:tc>
        <w:tc>
          <w:tcPr>
            <w:tcW w:type="dxa" w:w="2179"/>
            <w:vAlign w:val="top"/>
          </w:tcPr>
          <w:p>
            <w:pPr>
              <w:spacing w:after="0"/>
            </w:pPr>
            <w:r>
              <w:rPr>
                <w:sz w:val="12"/>
              </w:rPr>
              <w:t>/api/v1/auth/reset-password</w:t>
            </w:r>
          </w:p>
        </w:tc>
        <w:tc>
          <w:tcPr>
            <w:tcW w:type="dxa" w:w="2179"/>
            <w:vAlign w:val="top"/>
          </w:tcPr>
          <w:p>
            <w:pPr>
              <w:spacing w:after="0"/>
            </w:pPr>
            <w:r>
              <w:rPr>
                <w:sz w:val="12"/>
              </w:rPr>
              <w:t>Recovery context</w:t>
            </w:r>
          </w:p>
        </w:tc>
        <w:tc>
          <w:tcPr>
            <w:tcW w:type="dxa" w:w="2179"/>
            <w:vAlign w:val="top"/>
          </w:tcPr>
          <w:p>
            <w:pPr>
              <w:spacing w:after="0"/>
            </w:pPr>
            <w:r>
              <w:rPr>
                <w:sz w:val="12"/>
              </w:rPr>
              <w:t>Valid recovery context</w:t>
            </w:r>
          </w:p>
        </w:tc>
        <w:tc>
          <w:tcPr>
            <w:tcW w:type="dxa" w:w="2179"/>
            <w:vAlign w:val="top"/>
          </w:tcPr>
          <w:p>
            <w:pPr>
              <w:spacing w:after="0"/>
            </w:pPr>
            <w:r>
              <w:rPr>
                <w:sz w:val="12"/>
              </w:rPr>
              <w:t>ResetPasswordRequest</w:t>
            </w:r>
          </w:p>
        </w:tc>
        <w:tc>
          <w:tcPr>
            <w:tcW w:type="dxa" w:w="2179"/>
            <w:vAlign w:val="top"/>
          </w:tcPr>
          <w:p>
            <w:pPr>
              <w:spacing w:after="0"/>
            </w:pPr>
            <w:r>
              <w:rPr>
                <w:sz w:val="12"/>
              </w:rPr>
              <w:t>AcceptedResponse</w:t>
            </w:r>
          </w:p>
        </w:tc>
        <w:tc>
          <w:tcPr>
            <w:tcW w:type="dxa" w:w="2179"/>
            <w:vAlign w:val="top"/>
          </w:tcPr>
          <w:p>
            <w:pPr>
              <w:spacing w:after="0"/>
            </w:pPr>
            <w:r>
              <w:rPr>
                <w:sz w:val="12"/>
              </w:rPr>
              <w:t>Password policy remains server-controlled.</w:t>
            </w:r>
          </w:p>
        </w:tc>
      </w:tr>
      <w:tr>
        <w:tc>
          <w:tcPr>
            <w:tcW w:type="dxa" w:w="2179"/>
            <w:vAlign w:val="top"/>
          </w:tcPr>
          <w:p>
            <w:pPr>
              <w:spacing w:after="0"/>
            </w:pPr>
            <w:r>
              <w:rPr>
                <w:sz w:val="12"/>
              </w:rPr>
              <w:t>POST</w:t>
            </w:r>
          </w:p>
        </w:tc>
        <w:tc>
          <w:tcPr>
            <w:tcW w:type="dxa" w:w="2179"/>
            <w:vAlign w:val="top"/>
          </w:tcPr>
          <w:p>
            <w:pPr>
              <w:spacing w:after="0"/>
            </w:pPr>
            <w:r>
              <w:rPr>
                <w:sz w:val="12"/>
              </w:rPr>
              <w:t>/api/v1/auth/session/refresh</w:t>
            </w:r>
          </w:p>
        </w:tc>
        <w:tc>
          <w:tcPr>
            <w:tcW w:type="dxa" w:w="2179"/>
            <w:vAlign w:val="top"/>
          </w:tcPr>
          <w:p>
            <w:pPr>
              <w:spacing w:after="0"/>
            </w:pPr>
            <w:r>
              <w:rPr>
                <w:sz w:val="12"/>
              </w:rPr>
              <w:t>Refresh credential</w:t>
            </w:r>
          </w:p>
        </w:tc>
        <w:tc>
          <w:tcPr>
            <w:tcW w:type="dxa" w:w="2179"/>
            <w:vAlign w:val="top"/>
          </w:tcPr>
          <w:p>
            <w:pPr>
              <w:spacing w:after="0"/>
            </w:pPr>
            <w:r>
              <w:rPr>
                <w:sz w:val="12"/>
              </w:rPr>
              <w:t>Valid session subject</w:t>
            </w:r>
          </w:p>
        </w:tc>
        <w:tc>
          <w:tcPr>
            <w:tcW w:type="dxa" w:w="2179"/>
            <w:vAlign w:val="top"/>
          </w:tcPr>
          <w:p>
            <w:pPr>
              <w:spacing w:after="0"/>
            </w:pPr>
            <w:r>
              <w:rPr>
                <w:sz w:val="12"/>
              </w:rPr>
              <w:t>RefreshSessionRequest</w:t>
            </w:r>
          </w:p>
        </w:tc>
        <w:tc>
          <w:tcPr>
            <w:tcW w:type="dxa" w:w="2179"/>
            <w:vAlign w:val="top"/>
          </w:tcPr>
          <w:p>
            <w:pPr>
              <w:spacing w:after="0"/>
            </w:pPr>
            <w:r>
              <w:rPr>
                <w:sz w:val="12"/>
              </w:rPr>
              <w:t>SessionResponse</w:t>
            </w:r>
          </w:p>
        </w:tc>
        <w:tc>
          <w:tcPr>
            <w:tcW w:type="dxa" w:w="2179"/>
            <w:vAlign w:val="top"/>
          </w:tcPr>
          <w:p>
            <w:pPr>
              <w:spacing w:after="0"/>
            </w:pPr>
            <w:r>
              <w:rPr>
                <w:sz w:val="12"/>
              </w:rPr>
              <w:t>Rotation/revocation is server security policy.</w:t>
            </w:r>
          </w:p>
        </w:tc>
      </w:tr>
      <w:tr>
        <w:tc>
          <w:tcPr>
            <w:tcW w:type="dxa" w:w="2179"/>
            <w:vAlign w:val="top"/>
          </w:tcPr>
          <w:p>
            <w:pPr>
              <w:spacing w:after="0"/>
            </w:pPr>
            <w:r>
              <w:rPr>
                <w:sz w:val="12"/>
              </w:rPr>
              <w:t>POST</w:t>
            </w:r>
          </w:p>
        </w:tc>
        <w:tc>
          <w:tcPr>
            <w:tcW w:type="dxa" w:w="2179"/>
            <w:vAlign w:val="top"/>
          </w:tcPr>
          <w:p>
            <w:pPr>
              <w:spacing w:after="0"/>
            </w:pPr>
            <w:r>
              <w:rPr>
                <w:sz w:val="12"/>
              </w:rPr>
              <w:t>/api/v1/auth/sign-out</w:t>
            </w:r>
          </w:p>
        </w:tc>
        <w:tc>
          <w:tcPr>
            <w:tcW w:type="dxa" w:w="2179"/>
            <w:vAlign w:val="top"/>
          </w:tcPr>
          <w:p>
            <w:pPr>
              <w:spacing w:after="0"/>
            </w:pPr>
            <w:r>
              <w:rPr>
                <w:sz w:val="12"/>
              </w:rPr>
              <w:t>Bearer</w:t>
            </w:r>
          </w:p>
        </w:tc>
        <w:tc>
          <w:tcPr>
            <w:tcW w:type="dxa" w:w="2179"/>
            <w:vAlign w:val="top"/>
          </w:tcPr>
          <w:p>
            <w:pPr>
              <w:spacing w:after="0"/>
            </w:pPr>
            <w:r>
              <w:rPr>
                <w:sz w:val="12"/>
              </w:rPr>
              <w:t>Authenticated</w:t>
            </w:r>
          </w:p>
        </w:tc>
        <w:tc>
          <w:tcPr>
            <w:tcW w:type="dxa" w:w="2179"/>
            <w:vAlign w:val="top"/>
          </w:tcPr>
          <w:p>
            <w:pPr>
              <w:spacing w:after="0"/>
            </w:pPr>
            <w:r>
              <w:rPr>
                <w:sz w:val="12"/>
              </w:rPr>
              <w:t>SignOutRequest</w:t>
            </w:r>
          </w:p>
        </w:tc>
        <w:tc>
          <w:tcPr>
            <w:tcW w:type="dxa" w:w="2179"/>
            <w:vAlign w:val="top"/>
          </w:tcPr>
          <w:p>
            <w:pPr>
              <w:spacing w:after="0"/>
            </w:pPr>
            <w:r>
              <w:rPr>
                <w:sz w:val="12"/>
              </w:rPr>
              <w:t>204</w:t>
            </w:r>
          </w:p>
        </w:tc>
        <w:tc>
          <w:tcPr>
            <w:tcW w:type="dxa" w:w="2179"/>
            <w:vAlign w:val="top"/>
          </w:tcPr>
          <w:p>
            <w:pPr>
              <w:spacing w:after="0"/>
            </w:pPr>
            <w:r>
              <w:rPr>
                <w:sz w:val="12"/>
              </w:rPr>
              <w:t>Revokes supported server session/refresh credential; does not delete local unsynced data.</w:t>
            </w:r>
          </w:p>
        </w:tc>
      </w:tr>
      <w:tr>
        <w:tc>
          <w:tcPr>
            <w:tcW w:type="dxa" w:w="2179"/>
            <w:vAlign w:val="top"/>
          </w:tcPr>
          <w:p>
            <w:pPr>
              <w:spacing w:after="0"/>
            </w:pPr>
            <w:r>
              <w:rPr>
                <w:sz w:val="12"/>
              </w:rPr>
              <w:t>GET</w:t>
            </w:r>
          </w:p>
        </w:tc>
        <w:tc>
          <w:tcPr>
            <w:tcW w:type="dxa" w:w="2179"/>
            <w:vAlign w:val="top"/>
          </w:tcPr>
          <w:p>
            <w:pPr>
              <w:spacing w:after="0"/>
            </w:pPr>
            <w:r>
              <w:rPr>
                <w:sz w:val="12"/>
              </w:rPr>
              <w:t>/api/v1/me</w:t>
            </w:r>
          </w:p>
        </w:tc>
        <w:tc>
          <w:tcPr>
            <w:tcW w:type="dxa" w:w="2179"/>
            <w:vAlign w:val="top"/>
          </w:tcPr>
          <w:p>
            <w:pPr>
              <w:spacing w:after="0"/>
            </w:pPr>
            <w:r>
              <w:rPr>
                <w:sz w:val="12"/>
              </w:rPr>
              <w:t>Bearer</w:t>
            </w:r>
          </w:p>
        </w:tc>
        <w:tc>
          <w:tcPr>
            <w:tcW w:type="dxa" w:w="2179"/>
            <w:vAlign w:val="top"/>
          </w:tcPr>
          <w:p>
            <w:pPr>
              <w:spacing w:after="0"/>
            </w:pPr>
            <w:r>
              <w:rPr>
                <w:sz w:val="12"/>
              </w:rPr>
              <w:t>Authenticated Active User</w:t>
            </w:r>
          </w:p>
        </w:tc>
        <w:tc>
          <w:tcPr>
            <w:tcW w:type="dxa" w:w="2179"/>
            <w:vAlign w:val="top"/>
          </w:tcPr>
          <w:p>
            <w:pPr>
              <w:spacing w:after="0"/>
            </w:pPr>
            <w:r>
              <w:rPr>
                <w:sz w:val="12"/>
              </w:rPr>
              <w:t>—</w:t>
            </w:r>
          </w:p>
        </w:tc>
        <w:tc>
          <w:tcPr>
            <w:tcW w:type="dxa" w:w="2179"/>
            <w:vAlign w:val="top"/>
          </w:tcPr>
          <w:p>
            <w:pPr>
              <w:spacing w:after="0"/>
            </w:pPr>
            <w:r>
              <w:rPr>
                <w:sz w:val="12"/>
              </w:rPr>
              <w:t>CurrentUserResponse</w:t>
            </w:r>
          </w:p>
        </w:tc>
        <w:tc>
          <w:tcPr>
            <w:tcW w:type="dxa" w:w="2179"/>
            <w:vAlign w:val="top"/>
          </w:tcPr>
          <w:p>
            <w:pPr>
              <w:spacing w:after="0"/>
            </w:pPr>
            <w:r>
              <w:rPr>
                <w:sz w:val="12"/>
              </w:rPr>
              <w:t>Identity + memberships + effective server capabilities/context.</w:t>
            </w:r>
          </w:p>
        </w:tc>
      </w:tr>
      <w:tr>
        <w:tc>
          <w:tcPr>
            <w:tcW w:type="dxa" w:w="2179"/>
            <w:vAlign w:val="top"/>
          </w:tcPr>
          <w:p>
            <w:pPr>
              <w:spacing w:after="0"/>
            </w:pPr>
            <w:r>
              <w:rPr>
                <w:sz w:val="12"/>
              </w:rPr>
              <w:t>GET</w:t>
            </w:r>
          </w:p>
        </w:tc>
        <w:tc>
          <w:tcPr>
            <w:tcW w:type="dxa" w:w="2179"/>
            <w:vAlign w:val="top"/>
          </w:tcPr>
          <w:p>
            <w:pPr>
              <w:spacing w:after="0"/>
            </w:pPr>
            <w:r>
              <w:rPr>
                <w:sz w:val="12"/>
              </w:rPr>
              <w:t>/api/v1/organizations</w:t>
            </w:r>
          </w:p>
        </w:tc>
        <w:tc>
          <w:tcPr>
            <w:tcW w:type="dxa" w:w="2179"/>
            <w:vAlign w:val="top"/>
          </w:tcPr>
          <w:p>
            <w:pPr>
              <w:spacing w:after="0"/>
            </w:pPr>
            <w:r>
              <w:rPr>
                <w:sz w:val="12"/>
              </w:rPr>
              <w:t>Bearer</w:t>
            </w:r>
          </w:p>
        </w:tc>
        <w:tc>
          <w:tcPr>
            <w:tcW w:type="dxa" w:w="2179"/>
            <w:vAlign w:val="top"/>
          </w:tcPr>
          <w:p>
            <w:pPr>
              <w:spacing w:after="0"/>
            </w:pPr>
            <w:r>
              <w:rPr>
                <w:sz w:val="12"/>
              </w:rPr>
              <w:t>Authorized memberships</w:t>
            </w:r>
          </w:p>
        </w:tc>
        <w:tc>
          <w:tcPr>
            <w:tcW w:type="dxa" w:w="2179"/>
            <w:vAlign w:val="top"/>
          </w:tcPr>
          <w:p>
            <w:pPr>
              <w:spacing w:after="0"/>
            </w:pPr>
            <w:r>
              <w:rPr>
                <w:sz w:val="12"/>
              </w:rPr>
              <w:t>CursorQuery</w:t>
            </w:r>
          </w:p>
        </w:tc>
        <w:tc>
          <w:tcPr>
            <w:tcW w:type="dxa" w:w="2179"/>
            <w:vAlign w:val="top"/>
          </w:tcPr>
          <w:p>
            <w:pPr>
              <w:spacing w:after="0"/>
            </w:pPr>
            <w:r>
              <w:rPr>
                <w:sz w:val="12"/>
              </w:rPr>
              <w:t>Page&lt;OrganizationSummary&gt;</w:t>
            </w:r>
          </w:p>
        </w:tc>
        <w:tc>
          <w:tcPr>
            <w:tcW w:type="dxa" w:w="2179"/>
            <w:vAlign w:val="top"/>
          </w:tcPr>
          <w:p>
            <w:pPr>
              <w:spacing w:after="0"/>
            </w:pPr>
            <w:r>
              <w:rPr>
                <w:sz w:val="12"/>
              </w:rPr>
              <w:t>Only organizations user may access.</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w:t>
            </w:r>
          </w:p>
        </w:tc>
        <w:tc>
          <w:tcPr>
            <w:tcW w:type="dxa" w:w="2179"/>
            <w:vAlign w:val="top"/>
          </w:tcPr>
          <w:p>
            <w:pPr>
              <w:spacing w:after="0"/>
            </w:pPr>
            <w:r>
              <w:rPr>
                <w:sz w:val="12"/>
              </w:rPr>
              <w:t>OrganizationResponse</w:t>
            </w:r>
          </w:p>
        </w:tc>
        <w:tc>
          <w:tcPr>
            <w:tcW w:type="dxa" w:w="2179"/>
            <w:vAlign w:val="top"/>
          </w:tcPr>
          <w:p>
            <w:pPr>
              <w:spacing w:after="0"/>
            </w:pPr>
            <w:r>
              <w:rPr>
                <w:sz w:val="12"/>
              </w:rPr>
              <w:t>Tenant-scoped.</w:t>
            </w:r>
          </w:p>
        </w:tc>
      </w:tr>
      <w:tr>
        <w:tc>
          <w:tcPr>
            <w:tcW w:type="dxa" w:w="2179"/>
            <w:vAlign w:val="top"/>
          </w:tcPr>
          <w:p>
            <w:pPr>
              <w:spacing w:after="0"/>
            </w:pPr>
            <w:r>
              <w:rPr>
                <w:sz w:val="12"/>
              </w:rPr>
              <w:t>POST</w:t>
            </w:r>
          </w:p>
        </w:tc>
        <w:tc>
          <w:tcPr>
            <w:tcW w:type="dxa" w:w="2179"/>
            <w:vAlign w:val="top"/>
          </w:tcPr>
          <w:p>
            <w:pPr>
              <w:spacing w:after="0"/>
            </w:pPr>
            <w:r>
              <w:rPr>
                <w:sz w:val="12"/>
              </w:rPr>
              <w:t>/api/v1/organizations</w:t>
            </w:r>
          </w:p>
        </w:tc>
        <w:tc>
          <w:tcPr>
            <w:tcW w:type="dxa" w:w="2179"/>
            <w:vAlign w:val="top"/>
          </w:tcPr>
          <w:p>
            <w:pPr>
              <w:spacing w:after="0"/>
            </w:pPr>
            <w:r>
              <w:rPr>
                <w:sz w:val="12"/>
              </w:rPr>
              <w:t>Bearer/platform</w:t>
            </w:r>
          </w:p>
        </w:tc>
        <w:tc>
          <w:tcPr>
            <w:tcW w:type="dxa" w:w="2179"/>
            <w:vAlign w:val="top"/>
          </w:tcPr>
          <w:p>
            <w:pPr>
              <w:spacing w:after="0"/>
            </w:pPr>
            <w:r>
              <w:rPr>
                <w:sz w:val="12"/>
              </w:rPr>
              <w:t>Provisioning authority</w:t>
            </w:r>
          </w:p>
        </w:tc>
        <w:tc>
          <w:tcPr>
            <w:tcW w:type="dxa" w:w="2179"/>
            <w:vAlign w:val="top"/>
          </w:tcPr>
          <w:p>
            <w:pPr>
              <w:spacing w:after="0"/>
            </w:pPr>
            <w:r>
              <w:rPr>
                <w:sz w:val="12"/>
              </w:rPr>
              <w:t>OrganizationCreateRequest</w:t>
            </w:r>
          </w:p>
        </w:tc>
        <w:tc>
          <w:tcPr>
            <w:tcW w:type="dxa" w:w="2179"/>
            <w:vAlign w:val="top"/>
          </w:tcPr>
          <w:p>
            <w:pPr>
              <w:spacing w:after="0"/>
            </w:pPr>
            <w:r>
              <w:rPr>
                <w:sz w:val="12"/>
              </w:rPr>
              <w:t>OrganizationResponse</w:t>
            </w:r>
          </w:p>
        </w:tc>
        <w:tc>
          <w:tcPr>
            <w:tcW w:type="dxa" w:w="2179"/>
            <w:vAlign w:val="top"/>
          </w:tcPr>
          <w:p>
            <w:pPr>
              <w:spacing w:after="0"/>
            </w:pPr>
            <w:r>
              <w:rPr>
                <w:sz w:val="12"/>
              </w:rPr>
              <w:t>Not granted merely by Organization Admin role.</w:t>
            </w:r>
          </w:p>
        </w:tc>
      </w:tr>
      <w:tr>
        <w:tc>
          <w:tcPr>
            <w:tcW w:type="dxa" w:w="2179"/>
            <w:vAlign w:val="top"/>
          </w:tcPr>
          <w:p>
            <w:pPr>
              <w:spacing w:after="0"/>
            </w:pPr>
            <w:r>
              <w:rPr>
                <w:sz w:val="12"/>
              </w:rPr>
              <w:t>PATCH</w:t>
            </w:r>
          </w:p>
        </w:tc>
        <w:tc>
          <w:tcPr>
            <w:tcW w:type="dxa" w:w="2179"/>
            <w:vAlign w:val="top"/>
          </w:tcPr>
          <w:p>
            <w:pPr>
              <w:spacing w:after="0"/>
            </w:pPr>
            <w:r>
              <w:rPr>
                <w:sz w:val="12"/>
              </w:rPr>
              <w:t>/api/v1/organizations/{organizationId}</w:t>
            </w:r>
          </w:p>
        </w:tc>
        <w:tc>
          <w:tcPr>
            <w:tcW w:type="dxa" w:w="2179"/>
            <w:vAlign w:val="top"/>
          </w:tcPr>
          <w:p>
            <w:pPr>
              <w:spacing w:after="0"/>
            </w:pPr>
            <w:r>
              <w:rPr>
                <w:sz w:val="12"/>
              </w:rPr>
              <w:t>Bearer</w:t>
            </w:r>
          </w:p>
        </w:tc>
        <w:tc>
          <w:tcPr>
            <w:tcW w:type="dxa" w:w="2179"/>
            <w:vAlign w:val="top"/>
          </w:tcPr>
          <w:p>
            <w:pPr>
              <w:spacing w:after="0"/>
            </w:pPr>
            <w:r>
              <w:rPr>
                <w:sz w:val="12"/>
              </w:rPr>
              <w:t>Admin membership</w:t>
            </w:r>
          </w:p>
        </w:tc>
        <w:tc>
          <w:tcPr>
            <w:tcW w:type="dxa" w:w="2179"/>
            <w:vAlign w:val="top"/>
          </w:tcPr>
          <w:p>
            <w:pPr>
              <w:spacing w:after="0"/>
            </w:pPr>
            <w:r>
              <w:rPr>
                <w:sz w:val="12"/>
              </w:rPr>
              <w:t>OrganizationPatchRequest</w:t>
            </w:r>
          </w:p>
        </w:tc>
        <w:tc>
          <w:tcPr>
            <w:tcW w:type="dxa" w:w="2179"/>
            <w:vAlign w:val="top"/>
          </w:tcPr>
          <w:p>
            <w:pPr>
              <w:spacing w:after="0"/>
            </w:pPr>
            <w:r>
              <w:rPr>
                <w:sz w:val="12"/>
              </w:rPr>
              <w:t>OrganizationResponse</w:t>
            </w:r>
          </w:p>
        </w:tc>
        <w:tc>
          <w:tcPr>
            <w:tcW w:type="dxa" w:w="2179"/>
            <w:vAlign w:val="top"/>
          </w:tcPr>
          <w:p>
            <w:pPr>
              <w:spacing w:after="0"/>
            </w:pPr>
            <w:r>
              <w:rPr>
                <w:sz w:val="12"/>
              </w:rPr>
              <w:t>Lifecycle/code rules enforced.</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/api/v1/organizations/{organizationId}/locations</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CursorQuery + search/status</w:t>
            </w:r>
          </w:p>
        </w:tc>
        <w:tc>
          <w:tcPr>
            <w:tcW w:type="dxa" w:w="2179"/>
            <w:vAlign w:val="top"/>
          </w:tcPr>
          <w:p>
            <w:pPr>
              <w:spacing w:after="0"/>
            </w:pPr>
            <w:r>
              <w:rPr>
                <w:sz w:val="12"/>
              </w:rPr>
              <w:t>Page&lt;LocationResponse&gt;</w:t>
            </w:r>
          </w:p>
        </w:tc>
        <w:tc>
          <w:tcPr>
            <w:tcW w:type="dxa" w:w="2179"/>
            <w:vAlign w:val="top"/>
          </w:tcPr>
          <w:p>
            <w:pPr>
              <w:spacing w:after="0"/>
            </w:pPr>
            <w:r>
              <w:rPr>
                <w:sz w:val="12"/>
              </w:rPr>
              <w:t>Cursor-paged.</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/api/v1/organizations/{organizationId}/locations</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LocationCreateRequest</w:t>
            </w:r>
          </w:p>
        </w:tc>
        <w:tc>
          <w:tcPr>
            <w:tcW w:type="dxa" w:w="2179"/>
            <w:vAlign w:val="top"/>
          </w:tcPr>
          <w:p>
            <w:pPr>
              <w:spacing w:after="0"/>
            </w:pPr>
            <w:r>
              <w:rPr>
                <w:sz w:val="12"/>
              </w:rPr>
              <w:t>LocationResponse</w:t>
            </w:r>
          </w:p>
        </w:tc>
        <w:tc>
          <w:tcPr>
            <w:tcW w:type="dxa" w:w="2179"/>
            <w:vAlign w:val="top"/>
          </w:tcPr>
          <w:p>
            <w:pPr>
              <w:spacing w:after="0"/>
            </w:pPr>
            <w:r>
              <w:rPr>
                <w:sz w:val="12"/>
              </w:rPr>
              <w:t>Idempotent mutation contract.</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/api/v1/organizations/{organizationId}/locations/{locationId}</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w:t>
            </w:r>
          </w:p>
        </w:tc>
        <w:tc>
          <w:tcPr>
            <w:tcW w:type="dxa" w:w="2179"/>
            <w:vAlign w:val="top"/>
          </w:tcPr>
          <w:p>
            <w:pPr>
              <w:spacing w:after="0"/>
            </w:pPr>
            <w:r>
              <w:rPr>
                <w:sz w:val="12"/>
              </w:rPr>
              <w:t>LocationResponse</w:t>
            </w:r>
          </w:p>
        </w:tc>
        <w:tc>
          <w:tcPr>
            <w:tcW w:type="dxa" w:w="2179"/>
            <w:vAlign w:val="top"/>
          </w:tcPr>
          <w:p>
            <w:pPr>
              <w:spacing w:after="0"/>
            </w:pPr>
            <w:r>
              <w:rPr>
                <w:sz w:val="12"/>
              </w:rPr>
              <w:t>Tenant chain checked.</w:t>
            </w:r>
          </w:p>
        </w:tc>
      </w:tr>
      <w:tr>
        <w:tc>
          <w:tcPr>
            <w:tcW w:type="dxa" w:w="2179"/>
            <w:vAlign w:val="top"/>
          </w:tcPr>
          <w:p>
            <w:pPr>
              <w:spacing w:after="0"/>
            </w:pPr>
            <w:r>
              <w:rPr>
                <w:sz w:val="12"/>
              </w:rPr>
              <w:t>PATCH</w:t>
            </w:r>
          </w:p>
        </w:tc>
        <w:tc>
          <w:tcPr>
            <w:tcW w:type="dxa" w:w="2179"/>
            <w:vAlign w:val="top"/>
          </w:tcPr>
          <w:p>
            <w:pPr>
              <w:spacing w:after="0"/>
            </w:pPr>
            <w:r>
              <w:rPr>
                <w:sz w:val="12"/>
              </w:rPr>
              <w:t>/api/v1/organizations/{organizationId}/locations/{locationId}</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LocationPatchRequest</w:t>
            </w:r>
          </w:p>
        </w:tc>
        <w:tc>
          <w:tcPr>
            <w:tcW w:type="dxa" w:w="2179"/>
            <w:vAlign w:val="top"/>
          </w:tcPr>
          <w:p>
            <w:pPr>
              <w:spacing w:after="0"/>
            </w:pPr>
            <w:r>
              <w:rPr>
                <w:sz w:val="12"/>
              </w:rPr>
              <w:t>LocationResponse</w:t>
            </w:r>
          </w:p>
        </w:tc>
        <w:tc>
          <w:tcPr>
            <w:tcW w:type="dxa" w:w="2179"/>
            <w:vAlign w:val="top"/>
          </w:tcPr>
          <w:p>
            <w:pPr>
              <w:spacing w:after="0"/>
            </w:pPr>
            <w:r>
              <w:rPr>
                <w:sz w:val="12"/>
              </w:rPr>
              <w:t>baseEntityVersion required.</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/api/v1/organizations/{organizationId}/locations/{locationId}/storage-units</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CursorQuery + search/status</w:t>
            </w:r>
          </w:p>
        </w:tc>
        <w:tc>
          <w:tcPr>
            <w:tcW w:type="dxa" w:w="2179"/>
            <w:vAlign w:val="top"/>
          </w:tcPr>
          <w:p>
            <w:pPr>
              <w:spacing w:after="0"/>
            </w:pPr>
            <w:r>
              <w:rPr>
                <w:sz w:val="12"/>
              </w:rPr>
              <w:t>Page&lt;StorageUnitResponse&gt;</w:t>
            </w:r>
          </w:p>
        </w:tc>
        <w:tc>
          <w:tcPr>
            <w:tcW w:type="dxa" w:w="2179"/>
            <w:vAlign w:val="top"/>
          </w:tcPr>
          <w:p>
            <w:pPr>
              <w:spacing w:after="0"/>
            </w:pPr>
            <w:r>
              <w:rPr>
                <w:sz w:val="12"/>
              </w:rPr>
              <w:t>Cursor-paged.</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/api/v1/organizations/{organizationId}/locations/{locationId}/storage-units</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StorageUnitCreateRequest</w:t>
            </w:r>
          </w:p>
        </w:tc>
        <w:tc>
          <w:tcPr>
            <w:tcW w:type="dxa" w:w="2179"/>
            <w:vAlign w:val="top"/>
          </w:tcPr>
          <w:p>
            <w:pPr>
              <w:spacing w:after="0"/>
            </w:pPr>
            <w:r>
              <w:rPr>
                <w:sz w:val="12"/>
              </w:rPr>
              <w:t>StorageUnitResponse</w:t>
            </w:r>
          </w:p>
        </w:tc>
        <w:tc>
          <w:tcPr>
            <w:tcW w:type="dxa" w:w="2179"/>
            <w:vAlign w:val="top"/>
          </w:tcPr>
          <w:p>
            <w:pPr>
              <w:spacing w:after="0"/>
            </w:pPr>
            <w:r>
              <w:rPr>
                <w:sz w:val="12"/>
              </w:rPr>
              <w:t>Canonical code validation.</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/api/v1/organizations/{organizationId}/storage-units/{storageUnitId}</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w:t>
            </w:r>
          </w:p>
        </w:tc>
        <w:tc>
          <w:tcPr>
            <w:tcW w:type="dxa" w:w="2179"/>
            <w:vAlign w:val="top"/>
          </w:tcPr>
          <w:p>
            <w:pPr>
              <w:spacing w:after="0"/>
            </w:pPr>
            <w:r>
              <w:rPr>
                <w:sz w:val="12"/>
              </w:rPr>
              <w:t>StorageUnitResponse</w:t>
            </w:r>
          </w:p>
        </w:tc>
        <w:tc>
          <w:tcPr>
            <w:tcW w:type="dxa" w:w="2179"/>
            <w:vAlign w:val="top"/>
          </w:tcPr>
          <w:p>
            <w:pPr>
              <w:spacing w:after="0"/>
            </w:pPr>
            <w:r>
              <w:rPr>
                <w:sz w:val="12"/>
              </w:rPr>
              <w:t>Location/tenant consistency checked.</w:t>
            </w:r>
          </w:p>
        </w:tc>
      </w:tr>
      <w:tr>
        <w:tc>
          <w:tcPr>
            <w:tcW w:type="dxa" w:w="2179"/>
            <w:vAlign w:val="top"/>
          </w:tcPr>
          <w:p>
            <w:pPr>
              <w:spacing w:after="0"/>
            </w:pPr>
            <w:r>
              <w:rPr>
                <w:sz w:val="12"/>
              </w:rPr>
              <w:t>PATCH</w:t>
            </w:r>
          </w:p>
        </w:tc>
        <w:tc>
          <w:tcPr>
            <w:tcW w:type="dxa" w:w="2179"/>
            <w:vAlign w:val="top"/>
          </w:tcPr>
          <w:p>
            <w:pPr>
              <w:spacing w:after="0"/>
            </w:pPr>
            <w:r>
              <w:rPr>
                <w:sz w:val="12"/>
              </w:rPr>
              <w:t>/api/v1/organizations/{organizationId}/storage-units/{storageUnitId}</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StorageUnitPatchRequest</w:t>
            </w:r>
          </w:p>
        </w:tc>
        <w:tc>
          <w:tcPr>
            <w:tcW w:type="dxa" w:w="2179"/>
            <w:vAlign w:val="top"/>
          </w:tcPr>
          <w:p>
            <w:pPr>
              <w:spacing w:after="0"/>
            </w:pPr>
            <w:r>
              <w:rPr>
                <w:sz w:val="12"/>
              </w:rPr>
              <w:t>StorageUnitResponse</w:t>
            </w:r>
          </w:p>
        </w:tc>
        <w:tc>
          <w:tcPr>
            <w:tcW w:type="dxa" w:w="2179"/>
            <w:vAlign w:val="top"/>
          </w:tcPr>
          <w:p>
            <w:pPr>
              <w:spacing w:after="0"/>
            </w:pPr>
            <w:r>
              <w:rPr>
                <w:sz w:val="12"/>
              </w:rPr>
              <w:t>Optimistic concurrency.</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/api/v1/organizations/{organizationId}/storage-units/{storageUnitId}/storage-spaces</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CursorQuery + search/status</w:t>
            </w:r>
          </w:p>
        </w:tc>
        <w:tc>
          <w:tcPr>
            <w:tcW w:type="dxa" w:w="2179"/>
            <w:vAlign w:val="top"/>
          </w:tcPr>
          <w:p>
            <w:pPr>
              <w:spacing w:after="0"/>
            </w:pPr>
            <w:r>
              <w:rPr>
                <w:sz w:val="12"/>
              </w:rPr>
              <w:t>Page&lt;StorageSpaceResponse&gt;</w:t>
            </w:r>
          </w:p>
        </w:tc>
        <w:tc>
          <w:tcPr>
            <w:tcW w:type="dxa" w:w="2179"/>
            <w:vAlign w:val="top"/>
          </w:tcPr>
          <w:p>
            <w:pPr>
              <w:spacing w:after="0"/>
            </w:pPr>
            <w:r>
              <w:rPr>
                <w:sz w:val="12"/>
              </w:rPr>
              <w:t>Large-list cursor pagination.</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/api/v1/organizations/{organizationId}/storage-units/{storageUnitId}/storage-spaces</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StorageSpaceCreateRequest</w:t>
            </w:r>
          </w:p>
        </w:tc>
        <w:tc>
          <w:tcPr>
            <w:tcW w:type="dxa" w:w="2179"/>
            <w:vAlign w:val="top"/>
          </w:tcPr>
          <w:p>
            <w:pPr>
              <w:spacing w:after="0"/>
            </w:pPr>
            <w:r>
              <w:rPr>
                <w:sz w:val="12"/>
              </w:rPr>
              <w:t>StorageSpaceResponse</w:t>
            </w:r>
          </w:p>
        </w:tc>
        <w:tc>
          <w:tcPr>
            <w:tcW w:type="dxa" w:w="2179"/>
            <w:vAlign w:val="top"/>
          </w:tcPr>
          <w:p>
            <w:pPr>
              <w:spacing w:after="0"/>
            </w:pPr>
            <w:r>
              <w:rPr>
                <w:sz w:val="12"/>
              </w:rPr>
              <w:t>Single create.</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/api/v1/organizations/{organizationId}/storage-units/{storageUnitId}/storage-spaces:batch-create</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StorageSpaceBatchCreateRequest</w:t>
            </w:r>
          </w:p>
        </w:tc>
        <w:tc>
          <w:tcPr>
            <w:tcW w:type="dxa" w:w="2179"/>
            <w:vAlign w:val="top"/>
          </w:tcPr>
          <w:p>
            <w:pPr>
              <w:spacing w:after="0"/>
            </w:pPr>
            <w:r>
              <w:rPr>
                <w:sz w:val="12"/>
              </w:rPr>
              <w:t>StorageSpaceBatchCreateResponse</w:t>
            </w:r>
          </w:p>
        </w:tc>
        <w:tc>
          <w:tcPr>
            <w:tcW w:type="dxa" w:w="2179"/>
            <w:vAlign w:val="top"/>
          </w:tcPr>
          <w:p>
            <w:pPr>
              <w:spacing w:after="0"/>
            </w:pPr>
            <w:r>
              <w:rPr>
                <w:sz w:val="12"/>
              </w:rPr>
              <w:t>Add-only range C01–C08 style; transaction semantics explicit.</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/api/v1/organizations/{organizationId}/storage-spaces/{storageSpaceId}</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w:t>
            </w:r>
          </w:p>
        </w:tc>
        <w:tc>
          <w:tcPr>
            <w:tcW w:type="dxa" w:w="2179"/>
            <w:vAlign w:val="top"/>
          </w:tcPr>
          <w:p>
            <w:pPr>
              <w:spacing w:after="0"/>
            </w:pPr>
            <w:r>
              <w:rPr>
                <w:sz w:val="12"/>
              </w:rPr>
              <w:t>StorageSpaceResponse</w:t>
            </w:r>
          </w:p>
        </w:tc>
        <w:tc>
          <w:tcPr>
            <w:tcW w:type="dxa" w:w="2179"/>
            <w:vAlign w:val="top"/>
          </w:tcPr>
          <w:p>
            <w:pPr>
              <w:spacing w:after="0"/>
            </w:pPr>
            <w:r>
              <w:rPr>
                <w:sz w:val="12"/>
              </w:rPr>
              <w:t>Includes current geometry profile/version summary and calculated capacity.</w:t>
            </w:r>
          </w:p>
        </w:tc>
      </w:tr>
      <w:tr>
        <w:tc>
          <w:tcPr>
            <w:tcW w:type="dxa" w:w="2179"/>
            <w:vAlign w:val="top"/>
          </w:tcPr>
          <w:p>
            <w:pPr>
              <w:spacing w:after="0"/>
            </w:pPr>
            <w:r>
              <w:rPr>
                <w:sz w:val="12"/>
              </w:rPr>
              <w:t>PATCH</w:t>
            </w:r>
          </w:p>
        </w:tc>
        <w:tc>
          <w:tcPr>
            <w:tcW w:type="dxa" w:w="2179"/>
            <w:vAlign w:val="top"/>
          </w:tcPr>
          <w:p>
            <w:pPr>
              <w:spacing w:after="0"/>
            </w:pPr>
            <w:r>
              <w:rPr>
                <w:sz w:val="12"/>
              </w:rPr>
              <w:t>/api/v1/organizations/{organizationId}/storage-spaces/{storageSpaceId}</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StorageSpacePatchRequest</w:t>
            </w:r>
          </w:p>
        </w:tc>
        <w:tc>
          <w:tcPr>
            <w:tcW w:type="dxa" w:w="2179"/>
            <w:vAlign w:val="top"/>
          </w:tcPr>
          <w:p>
            <w:pPr>
              <w:spacing w:after="0"/>
            </w:pPr>
            <w:r>
              <w:rPr>
                <w:sz w:val="12"/>
              </w:rPr>
              <w:t>StorageSpaceResponse</w:t>
            </w:r>
          </w:p>
        </w:tc>
        <w:tc>
          <w:tcPr>
            <w:tcW w:type="dxa" w:w="2179"/>
            <w:vAlign w:val="top"/>
          </w:tcPr>
          <w:p>
            <w:pPr>
              <w:spacing w:after="0"/>
            </w:pPr>
            <w:r>
              <w:rPr>
                <w:sz w:val="12"/>
              </w:rPr>
              <w:t>Cannot rewrite launched snapshot history.</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/api/v1/organizations/{organizationId}/clients</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CursorQuery + search/status</w:t>
            </w:r>
          </w:p>
        </w:tc>
        <w:tc>
          <w:tcPr>
            <w:tcW w:type="dxa" w:w="2179"/>
            <w:vAlign w:val="top"/>
          </w:tcPr>
          <w:p>
            <w:pPr>
              <w:spacing w:after="0"/>
            </w:pPr>
            <w:r>
              <w:rPr>
                <w:sz w:val="12"/>
              </w:rPr>
              <w:t>Page&lt;ClientResponse&gt;</w:t>
            </w:r>
          </w:p>
        </w:tc>
        <w:tc>
          <w:tcPr>
            <w:tcW w:type="dxa" w:w="2179"/>
            <w:vAlign w:val="top"/>
          </w:tcPr>
          <w:p>
            <w:pPr>
              <w:spacing w:after="0"/>
            </w:pPr>
            <w:r>
              <w:rPr>
                <w:sz w:val="12"/>
              </w:rPr>
              <w:t>Tenant-scoped.</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/api/v1/organizations/{organizationId}/clients</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ClientCreateRequest</w:t>
            </w:r>
          </w:p>
        </w:tc>
        <w:tc>
          <w:tcPr>
            <w:tcW w:type="dxa" w:w="2179"/>
            <w:vAlign w:val="top"/>
          </w:tcPr>
          <w:p>
            <w:pPr>
              <w:spacing w:after="0"/>
            </w:pPr>
            <w:r>
              <w:rPr>
                <w:sz w:val="12"/>
              </w:rPr>
              <w:t>ClientResponse</w:t>
            </w:r>
          </w:p>
        </w:tc>
        <w:tc>
          <w:tcPr>
            <w:tcW w:type="dxa" w:w="2179"/>
            <w:vAlign w:val="top"/>
          </w:tcPr>
          <w:p>
            <w:pPr>
              <w:spacing w:after="0"/>
            </w:pPr>
            <w:r>
              <w:rPr>
                <w:sz w:val="12"/>
              </w:rPr>
              <w:t>Third-party owner master.</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/api/v1/organizations/{organizationId}/clients/{clientId}</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w:t>
            </w:r>
          </w:p>
        </w:tc>
        <w:tc>
          <w:tcPr>
            <w:tcW w:type="dxa" w:w="2179"/>
            <w:vAlign w:val="top"/>
          </w:tcPr>
          <w:p>
            <w:pPr>
              <w:spacing w:after="0"/>
            </w:pPr>
            <w:r>
              <w:rPr>
                <w:sz w:val="12"/>
              </w:rPr>
              <w:t>ClientResponse</w:t>
            </w:r>
          </w:p>
        </w:tc>
        <w:tc>
          <w:tcPr>
            <w:tcW w:type="dxa" w:w="2179"/>
            <w:vAlign w:val="top"/>
          </w:tcPr>
          <w:p>
            <w:pPr>
              <w:spacing w:after="0"/>
            </w:pPr>
            <w:r>
              <w:rPr>
                <w:sz w:val="12"/>
              </w:rPr>
              <w:t>—</w:t>
            </w:r>
          </w:p>
        </w:tc>
      </w:tr>
      <w:tr>
        <w:tc>
          <w:tcPr>
            <w:tcW w:type="dxa" w:w="2179"/>
            <w:vAlign w:val="top"/>
          </w:tcPr>
          <w:p>
            <w:pPr>
              <w:spacing w:after="0"/>
            </w:pPr>
            <w:r>
              <w:rPr>
                <w:sz w:val="12"/>
              </w:rPr>
              <w:t>PATCH</w:t>
            </w:r>
          </w:p>
        </w:tc>
        <w:tc>
          <w:tcPr>
            <w:tcW w:type="dxa" w:w="2179"/>
            <w:vAlign w:val="top"/>
          </w:tcPr>
          <w:p>
            <w:pPr>
              <w:spacing w:after="0"/>
            </w:pPr>
            <w:r>
              <w:rPr>
                <w:sz w:val="12"/>
              </w:rPr>
              <w:t>/api/v1/organizations/{organizationId}/clients/{clientId}</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ClientPatchRequest</w:t>
            </w:r>
          </w:p>
        </w:tc>
        <w:tc>
          <w:tcPr>
            <w:tcW w:type="dxa" w:w="2179"/>
            <w:vAlign w:val="top"/>
          </w:tcPr>
          <w:p>
            <w:pPr>
              <w:spacing w:after="0"/>
            </w:pPr>
            <w:r>
              <w:rPr>
                <w:sz w:val="12"/>
              </w:rPr>
              <w:t>ClientResponse</w:t>
            </w:r>
          </w:p>
        </w:tc>
        <w:tc>
          <w:tcPr>
            <w:tcW w:type="dxa" w:w="2179"/>
            <w:vAlign w:val="top"/>
          </w:tcPr>
          <w:p>
            <w:pPr>
              <w:spacing w:after="0"/>
            </w:pPr>
            <w:r>
              <w:rPr>
                <w:sz w:val="12"/>
              </w:rPr>
              <w:t>Optimistic concurrency.</w:t>
            </w:r>
          </w:p>
        </w:tc>
      </w:tr>
      <w:tr>
        <w:tc>
          <w:tcPr>
            <w:tcW w:type="dxa" w:w="2179"/>
            <w:vAlign w:val="top"/>
          </w:tcPr>
          <w:p>
            <w:pPr>
              <w:spacing w:after="0"/>
            </w:pPr>
            <w:r>
              <w:rPr>
                <w:sz w:val="12"/>
              </w:rPr>
              <w:t>GET</w:t>
            </w:r>
          </w:p>
        </w:tc>
        <w:tc>
          <w:tcPr>
            <w:tcW w:type="dxa" w:w="2179"/>
            <w:vAlign w:val="top"/>
          </w:tcPr>
          <w:p>
            <w:pPr>
              <w:spacing w:after="0"/>
            </w:pPr>
            <w:r>
              <w:rPr>
                <w:sz w:val="12"/>
              </w:rPr>
              <w:t>/api/v1/geometry-families</w:t>
            </w:r>
          </w:p>
        </w:tc>
        <w:tc>
          <w:tcPr>
            <w:tcW w:type="dxa" w:w="2179"/>
            <w:vAlign w:val="top"/>
          </w:tcPr>
          <w:p>
            <w:pPr>
              <w:spacing w:after="0"/>
            </w:pPr>
            <w:r>
              <w:rPr>
                <w:sz w:val="12"/>
              </w:rPr>
              <w:t>Bearer</w:t>
            </w:r>
          </w:p>
        </w:tc>
        <w:tc>
          <w:tcPr>
            <w:tcW w:type="dxa" w:w="2179"/>
            <w:vAlign w:val="top"/>
          </w:tcPr>
          <w:p>
            <w:pPr>
              <w:spacing w:after="0"/>
            </w:pPr>
            <w:r>
              <w:rPr>
                <w:sz w:val="12"/>
              </w:rPr>
              <w:t>Authenticated</w:t>
            </w:r>
          </w:p>
        </w:tc>
        <w:tc>
          <w:tcPr>
            <w:tcW w:type="dxa" w:w="2179"/>
            <w:vAlign w:val="top"/>
          </w:tcPr>
          <w:p>
            <w:pPr>
              <w:spacing w:after="0"/>
            </w:pPr>
            <w:r>
              <w:rPr>
                <w:sz w:val="12"/>
              </w:rPr>
              <w:t>—</w:t>
            </w:r>
          </w:p>
        </w:tc>
        <w:tc>
          <w:tcPr>
            <w:tcW w:type="dxa" w:w="2179"/>
            <w:vAlign w:val="top"/>
          </w:tcPr>
          <w:p>
            <w:pPr>
              <w:spacing w:after="0"/>
            </w:pPr>
            <w:r>
              <w:rPr>
                <w:sz w:val="12"/>
              </w:rPr>
              <w:t>List&lt;GeometryFamilyResponse&gt;</w:t>
            </w:r>
          </w:p>
        </w:tc>
        <w:tc>
          <w:tcPr>
            <w:tcW w:type="dxa" w:w="2179"/>
            <w:vAlign w:val="top"/>
          </w:tcPr>
          <w:p>
            <w:pPr>
              <w:spacing w:after="0"/>
            </w:pPr>
            <w:r>
              <w:rPr>
                <w:sz w:val="12"/>
              </w:rPr>
              <w:t>Platform-governed F01–F10, read-only.</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/api/v1/organizations/{organizationId}/geometry-profiles</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CursorQuery + search/status</w:t>
            </w:r>
          </w:p>
        </w:tc>
        <w:tc>
          <w:tcPr>
            <w:tcW w:type="dxa" w:w="2179"/>
            <w:vAlign w:val="top"/>
          </w:tcPr>
          <w:p>
            <w:pPr>
              <w:spacing w:after="0"/>
            </w:pPr>
            <w:r>
              <w:rPr>
                <w:sz w:val="12"/>
              </w:rPr>
              <w:t>Page&lt;GeometryProfileSummary&gt;</w:t>
            </w:r>
          </w:p>
        </w:tc>
        <w:tc>
          <w:tcPr>
            <w:tcW w:type="dxa" w:w="2179"/>
            <w:vAlign w:val="top"/>
          </w:tcPr>
          <w:p>
            <w:pPr>
              <w:spacing w:after="0"/>
            </w:pPr>
            <w:r>
              <w:rPr>
                <w:sz w:val="12"/>
              </w:rPr>
              <w:t>Search Name + Code.</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/api/v1/organizations/{organizationId}/geometry-profiles</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GeometryProfileCreateRequest</w:t>
            </w:r>
          </w:p>
        </w:tc>
        <w:tc>
          <w:tcPr>
            <w:tcW w:type="dxa" w:w="2179"/>
            <w:vAlign w:val="top"/>
          </w:tcPr>
          <w:p>
            <w:pPr>
              <w:spacing w:after="0"/>
            </w:pPr>
            <w:r>
              <w:rPr>
                <w:sz w:val="12"/>
              </w:rPr>
              <w:t>GeometryProfileResponse</w:t>
            </w:r>
          </w:p>
        </w:tc>
        <w:tc>
          <w:tcPr>
            <w:tcW w:type="dxa" w:w="2179"/>
            <w:vAlign w:val="top"/>
          </w:tcPr>
          <w:p>
            <w:pPr>
              <w:spacing w:after="0"/>
            </w:pPr>
            <w:r>
              <w:rPr>
                <w:sz w:val="12"/>
              </w:rPr>
              <w:t>Creates logical profile + first immutable version.</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/api/v1/organizations/{organizationId}/geometry-profiles/{profileId}</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w:t>
            </w:r>
          </w:p>
        </w:tc>
        <w:tc>
          <w:tcPr>
            <w:tcW w:type="dxa" w:w="2179"/>
            <w:vAlign w:val="top"/>
          </w:tcPr>
          <w:p>
            <w:pPr>
              <w:spacing w:after="0"/>
            </w:pPr>
            <w:r>
              <w:rPr>
                <w:sz w:val="12"/>
              </w:rPr>
              <w:t>GeometryProfileResponse</w:t>
            </w:r>
          </w:p>
        </w:tc>
        <w:tc>
          <w:tcPr>
            <w:tcW w:type="dxa" w:w="2179"/>
            <w:vAlign w:val="top"/>
          </w:tcPr>
          <w:p>
            <w:pPr>
              <w:spacing w:after="0"/>
            </w:pPr>
            <w:r>
              <w:rPr>
                <w:sz w:val="12"/>
              </w:rPr>
              <w:t>Includes currentVersion.</w:t>
            </w:r>
          </w:p>
        </w:tc>
      </w:tr>
      <w:tr>
        <w:tc>
          <w:tcPr>
            <w:tcW w:type="dxa" w:w="2179"/>
            <w:vAlign w:val="top"/>
          </w:tcPr>
          <w:p>
            <w:pPr>
              <w:spacing w:after="0"/>
            </w:pPr>
            <w:r>
              <w:rPr>
                <w:sz w:val="12"/>
              </w:rPr>
              <w:t>PATCH</w:t>
            </w:r>
          </w:p>
        </w:tc>
        <w:tc>
          <w:tcPr>
            <w:tcW w:type="dxa" w:w="2179"/>
            <w:vAlign w:val="top"/>
          </w:tcPr>
          <w:p>
            <w:pPr>
              <w:spacing w:after="0"/>
            </w:pPr>
            <w:r>
              <w:rPr>
                <w:sz w:val="12"/>
              </w:rPr>
              <w:t>/api/v1/organizations/{organizationId}/geometry-profiles/{profileId}</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GeometryProfilePatchRequest</w:t>
            </w:r>
          </w:p>
        </w:tc>
        <w:tc>
          <w:tcPr>
            <w:tcW w:type="dxa" w:w="2179"/>
            <w:vAlign w:val="top"/>
          </w:tcPr>
          <w:p>
            <w:pPr>
              <w:spacing w:after="0"/>
            </w:pPr>
            <w:r>
              <w:rPr>
                <w:sz w:val="12"/>
              </w:rPr>
              <w:t>GeometryProfileResponse</w:t>
            </w:r>
          </w:p>
        </w:tc>
        <w:tc>
          <w:tcPr>
            <w:tcW w:type="dxa" w:w="2179"/>
            <w:vAlign w:val="top"/>
          </w:tcPr>
          <w:p>
            <w:pPr>
              <w:spacing w:after="0"/>
            </w:pPr>
            <w:r>
              <w:rPr>
                <w:sz w:val="12"/>
              </w:rPr>
              <w:t>Calculation-affecting change creates new version.</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/api/v1/organizations/{organizationId}/geometry-profiles/{profileId}/versions</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CursorQuery</w:t>
            </w:r>
          </w:p>
        </w:tc>
        <w:tc>
          <w:tcPr>
            <w:tcW w:type="dxa" w:w="2179"/>
            <w:vAlign w:val="top"/>
          </w:tcPr>
          <w:p>
            <w:pPr>
              <w:spacing w:after="0"/>
            </w:pPr>
            <w:r>
              <w:rPr>
                <w:sz w:val="12"/>
              </w:rPr>
              <w:t>Page&lt;GeometryProfileVersionResponse&gt;</w:t>
            </w:r>
          </w:p>
        </w:tc>
        <w:tc>
          <w:tcPr>
            <w:tcW w:type="dxa" w:w="2179"/>
            <w:vAlign w:val="top"/>
          </w:tcPr>
          <w:p>
            <w:pPr>
              <w:spacing w:after="0"/>
            </w:pPr>
            <w:r>
              <w:rPr>
                <w:sz w:val="12"/>
              </w:rPr>
              <w:t>Immutable versions.</w:t>
            </w:r>
          </w:p>
        </w:tc>
      </w:tr>
      <w:tr>
        <w:tc>
          <w:tcPr>
            <w:tcW w:type="dxa" w:w="2179"/>
            <w:vAlign w:val="top"/>
          </w:tcPr>
          <w:p>
            <w:pPr>
              <w:spacing w:after="0"/>
            </w:pPr>
            <w:r>
              <w:rPr>
                <w:sz w:val="12"/>
              </w:rPr>
              <w:t>GET</w:t>
            </w:r>
          </w:p>
        </w:tc>
        <w:tc>
          <w:tcPr>
            <w:tcW w:type="dxa" w:w="2179"/>
            <w:vAlign w:val="top"/>
          </w:tcPr>
          <w:p>
            <w:pPr>
              <w:spacing w:after="0"/>
            </w:pPr>
            <w:r>
              <w:rPr>
                <w:sz w:val="12"/>
              </w:rPr>
              <w:t>/api/v1/commodities</w:t>
            </w:r>
          </w:p>
        </w:tc>
        <w:tc>
          <w:tcPr>
            <w:tcW w:type="dxa" w:w="2179"/>
            <w:vAlign w:val="top"/>
          </w:tcPr>
          <w:p>
            <w:pPr>
              <w:spacing w:after="0"/>
            </w:pPr>
            <w:r>
              <w:rPr>
                <w:sz w:val="12"/>
              </w:rPr>
              <w:t>Bearer</w:t>
            </w:r>
          </w:p>
        </w:tc>
        <w:tc>
          <w:tcPr>
            <w:tcW w:type="dxa" w:w="2179"/>
            <w:vAlign w:val="top"/>
          </w:tcPr>
          <w:p>
            <w:pPr>
              <w:spacing w:after="0"/>
            </w:pPr>
            <w:r>
              <w:rPr>
                <w:sz w:val="12"/>
              </w:rPr>
              <w:t>Authenticated</w:t>
            </w:r>
          </w:p>
        </w:tc>
        <w:tc>
          <w:tcPr>
            <w:tcW w:type="dxa" w:w="2179"/>
            <w:vAlign w:val="top"/>
          </w:tcPr>
          <w:p>
            <w:pPr>
              <w:spacing w:after="0"/>
            </w:pPr>
            <w:r>
              <w:rPr>
                <w:sz w:val="12"/>
              </w:rPr>
              <w:t>CursorQuery + search/status/version</w:t>
            </w:r>
          </w:p>
        </w:tc>
        <w:tc>
          <w:tcPr>
            <w:tcW w:type="dxa" w:w="2179"/>
            <w:vAlign w:val="top"/>
          </w:tcPr>
          <w:p>
            <w:pPr>
              <w:spacing w:after="0"/>
            </w:pPr>
            <w:r>
              <w:rPr>
                <w:sz w:val="12"/>
              </w:rPr>
              <w:t>Page&lt;CommodityResponse&gt;</w:t>
            </w:r>
          </w:p>
        </w:tc>
        <w:tc>
          <w:tcPr>
            <w:tcW w:type="dxa" w:w="2179"/>
            <w:vAlign w:val="top"/>
          </w:tcPr>
          <w:p>
            <w:pPr>
              <w:spacing w:after="0"/>
            </w:pPr>
            <w:r>
              <w:rPr>
                <w:sz w:val="12"/>
              </w:rPr>
              <w:t>Platform-governed read-only to organization users.</w:t>
            </w:r>
          </w:p>
        </w:tc>
      </w:tr>
      <w:tr>
        <w:tc>
          <w:tcPr>
            <w:tcW w:type="dxa" w:w="2179"/>
            <w:vAlign w:val="top"/>
          </w:tcPr>
          <w:p>
            <w:pPr>
              <w:spacing w:after="0"/>
            </w:pPr>
            <w:r>
              <w:rPr>
                <w:sz w:val="12"/>
              </w:rPr>
              <w:t>GET</w:t>
            </w:r>
          </w:p>
        </w:tc>
        <w:tc>
          <w:tcPr>
            <w:tcW w:type="dxa" w:w="2179"/>
            <w:vAlign w:val="top"/>
          </w:tcPr>
          <w:p>
            <w:pPr>
              <w:spacing w:after="0"/>
            </w:pPr>
            <w:r>
              <w:rPr>
                <w:sz w:val="12"/>
              </w:rPr>
              <w:t>/api/v1/commodities/{commodityId}</w:t>
            </w:r>
          </w:p>
        </w:tc>
        <w:tc>
          <w:tcPr>
            <w:tcW w:type="dxa" w:w="2179"/>
            <w:vAlign w:val="top"/>
          </w:tcPr>
          <w:p>
            <w:pPr>
              <w:spacing w:after="0"/>
            </w:pPr>
            <w:r>
              <w:rPr>
                <w:sz w:val="12"/>
              </w:rPr>
              <w:t>Bearer</w:t>
            </w:r>
          </w:p>
        </w:tc>
        <w:tc>
          <w:tcPr>
            <w:tcW w:type="dxa" w:w="2179"/>
            <w:vAlign w:val="top"/>
          </w:tcPr>
          <w:p>
            <w:pPr>
              <w:spacing w:after="0"/>
            </w:pPr>
            <w:r>
              <w:rPr>
                <w:sz w:val="12"/>
              </w:rPr>
              <w:t>Authenticated</w:t>
            </w:r>
          </w:p>
        </w:tc>
        <w:tc>
          <w:tcPr>
            <w:tcW w:type="dxa" w:w="2179"/>
            <w:vAlign w:val="top"/>
          </w:tcPr>
          <w:p>
            <w:pPr>
              <w:spacing w:after="0"/>
            </w:pPr>
            <w:r>
              <w:rPr>
                <w:sz w:val="12"/>
              </w:rPr>
              <w:t>—</w:t>
            </w:r>
          </w:p>
        </w:tc>
        <w:tc>
          <w:tcPr>
            <w:tcW w:type="dxa" w:w="2179"/>
            <w:vAlign w:val="top"/>
          </w:tcPr>
          <w:p>
            <w:pPr>
              <w:spacing w:after="0"/>
            </w:pPr>
            <w:r>
              <w:rPr>
                <w:sz w:val="12"/>
              </w:rPr>
              <w:t>CommodityResponse</w:t>
            </w:r>
          </w:p>
        </w:tc>
        <w:tc>
          <w:tcPr>
            <w:tcW w:type="dxa" w:w="2179"/>
            <w:vAlign w:val="top"/>
          </w:tcPr>
          <w:p>
            <w:pPr>
              <w:spacing w:after="0"/>
            </w:pPr>
            <w:r>
              <w:rPr>
                <w:sz w:val="12"/>
              </w:rPr>
              <w:t>Includes current version.</w:t>
            </w:r>
          </w:p>
        </w:tc>
      </w:tr>
      <w:tr>
        <w:tc>
          <w:tcPr>
            <w:tcW w:type="dxa" w:w="2179"/>
            <w:vAlign w:val="top"/>
          </w:tcPr>
          <w:p>
            <w:pPr>
              <w:spacing w:after="0"/>
            </w:pPr>
            <w:r>
              <w:rPr>
                <w:sz w:val="12"/>
              </w:rPr>
              <w:t>GET</w:t>
            </w:r>
          </w:p>
        </w:tc>
        <w:tc>
          <w:tcPr>
            <w:tcW w:type="dxa" w:w="2179"/>
            <w:vAlign w:val="top"/>
          </w:tcPr>
          <w:p>
            <w:pPr>
              <w:spacing w:after="0"/>
            </w:pPr>
            <w:r>
              <w:rPr>
                <w:sz w:val="12"/>
              </w:rPr>
              <w:t>/api/v1/commodities/{commodityId}/versions/{versionId}</w:t>
            </w:r>
          </w:p>
        </w:tc>
        <w:tc>
          <w:tcPr>
            <w:tcW w:type="dxa" w:w="2179"/>
            <w:vAlign w:val="top"/>
          </w:tcPr>
          <w:p>
            <w:pPr>
              <w:spacing w:after="0"/>
            </w:pPr>
            <w:r>
              <w:rPr>
                <w:sz w:val="12"/>
              </w:rPr>
              <w:t>Bearer</w:t>
            </w:r>
          </w:p>
        </w:tc>
        <w:tc>
          <w:tcPr>
            <w:tcW w:type="dxa" w:w="2179"/>
            <w:vAlign w:val="top"/>
          </w:tcPr>
          <w:p>
            <w:pPr>
              <w:spacing w:after="0"/>
            </w:pPr>
            <w:r>
              <w:rPr>
                <w:sz w:val="12"/>
              </w:rPr>
              <w:t>Authenticated</w:t>
            </w:r>
          </w:p>
        </w:tc>
        <w:tc>
          <w:tcPr>
            <w:tcW w:type="dxa" w:w="2179"/>
            <w:vAlign w:val="top"/>
          </w:tcPr>
          <w:p>
            <w:pPr>
              <w:spacing w:after="0"/>
            </w:pPr>
            <w:r>
              <w:rPr>
                <w:sz w:val="12"/>
              </w:rPr>
              <w:t>—</w:t>
            </w:r>
          </w:p>
        </w:tc>
        <w:tc>
          <w:tcPr>
            <w:tcW w:type="dxa" w:w="2179"/>
            <w:vAlign w:val="top"/>
          </w:tcPr>
          <w:p>
            <w:pPr>
              <w:spacing w:after="0"/>
            </w:pPr>
            <w:r>
              <w:rPr>
                <w:sz w:val="12"/>
              </w:rPr>
              <w:t>CommodityVersionResponse</w:t>
            </w:r>
          </w:p>
        </w:tc>
        <w:tc>
          <w:tcPr>
            <w:tcW w:type="dxa" w:w="2179"/>
            <w:vAlign w:val="top"/>
          </w:tcPr>
          <w:p>
            <w:pPr>
              <w:spacing w:after="0"/>
            </w:pPr>
            <w:r>
              <w:rPr>
                <w:sz w:val="12"/>
              </w:rPr>
              <w:t>Immutable governed version.</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CursorQuery + search/status/type</w:t>
            </w:r>
          </w:p>
        </w:tc>
        <w:tc>
          <w:tcPr>
            <w:tcW w:type="dxa" w:w="2179"/>
            <w:vAlign w:val="top"/>
          </w:tcPr>
          <w:p>
            <w:pPr>
              <w:spacing w:after="0"/>
            </w:pPr>
            <w:r>
              <w:rPr>
                <w:sz w:val="12"/>
              </w:rPr>
              <w:t>Page&lt;CampaignSummary&gt;</w:t>
            </w:r>
          </w:p>
        </w:tc>
        <w:tc>
          <w:tcPr>
            <w:tcW w:type="dxa" w:w="2179"/>
            <w:vAlign w:val="top"/>
          </w:tcPr>
          <w:p>
            <w:pPr>
              <w:spacing w:after="0"/>
            </w:pPr>
            <w:r>
              <w:rPr>
                <w:sz w:val="12"/>
              </w:rPr>
              <w:t>Search Name/Code; Active/Completed; optional type.</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/api/v1/organizations/{organizationId}/campaigns:launch</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CampaignLaunchRequest</w:t>
            </w:r>
          </w:p>
        </w:tc>
        <w:tc>
          <w:tcPr>
            <w:tcW w:type="dxa" w:w="2179"/>
            <w:vAlign w:val="top"/>
          </w:tcPr>
          <w:p>
            <w:pPr>
              <w:spacing w:after="0"/>
            </w:pPr>
            <w:r>
              <w:rPr>
                <w:sz w:val="12"/>
              </w:rPr>
              <w:t>CampaignResponse</w:t>
            </w:r>
          </w:p>
        </w:tc>
        <w:tc>
          <w:tcPr>
            <w:tcW w:type="dxa" w:w="2179"/>
            <w:vAlign w:val="top"/>
          </w:tcPr>
          <w:p>
            <w:pPr>
              <w:spacing w:after="0"/>
            </w:pPr>
            <w:r>
              <w:rPr>
                <w:sz w:val="12"/>
              </w:rPr>
              <w:t>Atomic Save &amp; Launch; official Campaign Code server-generated; no Draft.</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w:t>
            </w:r>
          </w:p>
        </w:tc>
        <w:tc>
          <w:tcPr>
            <w:tcW w:type="dxa" w:w="2179"/>
            <w:vAlign w:val="top"/>
          </w:tcPr>
          <w:p>
            <w:pPr>
              <w:spacing w:after="0"/>
            </w:pPr>
            <w:r>
              <w:rPr>
                <w:sz w:val="12"/>
              </w:rPr>
              <w:t>CampaignResponse</w:t>
            </w:r>
          </w:p>
        </w:tc>
        <w:tc>
          <w:tcPr>
            <w:tcW w:type="dxa" w:w="2179"/>
            <w:vAlign w:val="top"/>
          </w:tcPr>
          <w:p>
            <w:pPr>
              <w:spacing w:after="0"/>
            </w:pPr>
            <w:r>
              <w:rPr>
                <w:sz w:val="12"/>
              </w:rPr>
              <w:t>Includes snapshot/scope/team summaries.</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/api/v1/organizations/{organizationId}/campaigns/{campaignId}/scope</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CursorQuery</w:t>
            </w:r>
          </w:p>
        </w:tc>
        <w:tc>
          <w:tcPr>
            <w:tcW w:type="dxa" w:w="2179"/>
            <w:vAlign w:val="top"/>
          </w:tcPr>
          <w:p>
            <w:pPr>
              <w:spacing w:after="0"/>
            </w:pPr>
            <w:r>
              <w:rPr>
                <w:sz w:val="12"/>
              </w:rPr>
              <w:t>Page&lt;CampaignScopeItemResponse&gt;</w:t>
            </w:r>
          </w:p>
        </w:tc>
        <w:tc>
          <w:tcPr>
            <w:tcW w:type="dxa" w:w="2179"/>
            <w:vAlign w:val="top"/>
          </w:tcPr>
          <w:p>
            <w:pPr>
              <w:spacing w:after="0"/>
            </w:pPr>
            <w:r>
              <w:rPr>
                <w:sz w:val="12"/>
              </w:rPr>
              <w:t>Frozen after launch.</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/api/v1/organizations/{organizationId}/campaigns/{campaignId}/team</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CursorQuery</w:t>
            </w:r>
          </w:p>
        </w:tc>
        <w:tc>
          <w:tcPr>
            <w:tcW w:type="dxa" w:w="2179"/>
            <w:vAlign w:val="top"/>
          </w:tcPr>
          <w:p>
            <w:pPr>
              <w:spacing w:after="0"/>
            </w:pPr>
            <w:r>
              <w:rPr>
                <w:sz w:val="12"/>
              </w:rPr>
              <w:t>Page&lt;CampaignTeamAssignmentResponse&gt;</w:t>
            </w:r>
          </w:p>
        </w:tc>
        <w:tc>
          <w:tcPr>
            <w:tcW w:type="dxa" w:w="2179"/>
            <w:vAlign w:val="top"/>
          </w:tcPr>
          <w:p>
            <w:pPr>
              <w:spacing w:after="0"/>
            </w:pPr>
            <w:r>
              <w:rPr>
                <w:sz w:val="12"/>
              </w:rPr>
              <w:t>History/current filter supported.</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/api/v1/organizations/{organizationId}/campaigns/{campaignId}/team</w:t>
            </w:r>
          </w:p>
        </w:tc>
        <w:tc>
          <w:tcPr>
            <w:tcW w:type="dxa" w:w="2179"/>
            <w:vAlign w:val="top"/>
          </w:tcPr>
          <w:p>
            <w:pPr>
              <w:spacing w:after="0"/>
            </w:pPr>
            <w:r>
              <w:rPr>
                <w:sz w:val="12"/>
              </w:rPr>
              <w:t>Bearer</w:t>
            </w:r>
          </w:p>
        </w:tc>
        <w:tc>
          <w:tcPr>
            <w:tcW w:type="dxa" w:w="2179"/>
            <w:vAlign w:val="top"/>
          </w:tcPr>
          <w:p>
            <w:pPr>
              <w:spacing w:after="0"/>
            </w:pPr>
            <w:r>
              <w:rPr>
                <w:sz w:val="12"/>
              </w:rPr>
              <w:t>Admin; Campaign ACTIVE</w:t>
            </w:r>
          </w:p>
        </w:tc>
        <w:tc>
          <w:tcPr>
            <w:tcW w:type="dxa" w:w="2179"/>
            <w:vAlign w:val="top"/>
          </w:tcPr>
          <w:p>
            <w:pPr>
              <w:spacing w:after="0"/>
            </w:pPr>
            <w:r>
              <w:rPr>
                <w:sz w:val="12"/>
              </w:rPr>
              <w:t>CampaignTeamAddRequest</w:t>
            </w:r>
          </w:p>
        </w:tc>
        <w:tc>
          <w:tcPr>
            <w:tcW w:type="dxa" w:w="2179"/>
            <w:vAlign w:val="top"/>
          </w:tcPr>
          <w:p>
            <w:pPr>
              <w:spacing w:after="0"/>
            </w:pPr>
            <w:r>
              <w:rPr>
                <w:sz w:val="12"/>
              </w:rPr>
              <w:t>CampaignTeamAssignmentResponse</w:t>
            </w:r>
          </w:p>
        </w:tc>
        <w:tc>
          <w:tcPr>
            <w:tcW w:type="dxa" w:w="2179"/>
            <w:vAlign w:val="top"/>
          </w:tcPr>
          <w:p>
            <w:pPr>
              <w:spacing w:after="0"/>
            </w:pPr>
            <w:r>
              <w:rPr>
                <w:sz w:val="12"/>
              </w:rPr>
              <w:t>Post-launch team changes allowed; scope unchanged.</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/api/v1/organizations/{organizationId}/campaigns/{campaignId}/team/{userId}:remove</w:t>
            </w:r>
          </w:p>
        </w:tc>
        <w:tc>
          <w:tcPr>
            <w:tcW w:type="dxa" w:w="2179"/>
            <w:vAlign w:val="top"/>
          </w:tcPr>
          <w:p>
            <w:pPr>
              <w:spacing w:after="0"/>
            </w:pPr>
            <w:r>
              <w:rPr>
                <w:sz w:val="12"/>
              </w:rPr>
              <w:t>Bearer</w:t>
            </w:r>
          </w:p>
        </w:tc>
        <w:tc>
          <w:tcPr>
            <w:tcW w:type="dxa" w:w="2179"/>
            <w:vAlign w:val="top"/>
          </w:tcPr>
          <w:p>
            <w:pPr>
              <w:spacing w:after="0"/>
            </w:pPr>
            <w:r>
              <w:rPr>
                <w:sz w:val="12"/>
              </w:rPr>
              <w:t>Admin; Campaign ACTIVE</w:t>
            </w:r>
          </w:p>
        </w:tc>
        <w:tc>
          <w:tcPr>
            <w:tcW w:type="dxa" w:w="2179"/>
            <w:vAlign w:val="top"/>
          </w:tcPr>
          <w:p>
            <w:pPr>
              <w:spacing w:after="0"/>
            </w:pPr>
            <w:r>
              <w:rPr>
                <w:sz w:val="12"/>
              </w:rPr>
              <w:t>MutationControl</w:t>
            </w:r>
          </w:p>
        </w:tc>
        <w:tc>
          <w:tcPr>
            <w:tcW w:type="dxa" w:w="2179"/>
            <w:vAlign w:val="top"/>
          </w:tcPr>
          <w:p>
            <w:pPr>
              <w:spacing w:after="0"/>
            </w:pPr>
            <w:r>
              <w:rPr>
                <w:sz w:val="12"/>
              </w:rPr>
              <w:t>CampaignTeamAssignmentResponse</w:t>
            </w:r>
          </w:p>
        </w:tc>
        <w:tc>
          <w:tcPr>
            <w:tcW w:type="dxa" w:w="2179"/>
            <w:vAlign w:val="top"/>
          </w:tcPr>
          <w:p>
            <w:pPr>
              <w:spacing w:after="0"/>
            </w:pPr>
            <w:r>
              <w:rPr>
                <w:sz w:val="12"/>
              </w:rPr>
              <w:t>Immediate server revocation for new mutations; history retained.</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/api/v1/organizations/{organizationId}/campaigns/{campaignId}/snapshot</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w:t>
            </w:r>
          </w:p>
        </w:tc>
        <w:tc>
          <w:tcPr>
            <w:tcW w:type="dxa" w:w="2179"/>
            <w:vAlign w:val="top"/>
          </w:tcPr>
          <w:p>
            <w:pPr>
              <w:spacing w:after="0"/>
            </w:pPr>
            <w:r>
              <w:rPr>
                <w:sz w:val="12"/>
              </w:rPr>
              <w:t>CampaignSnapshotResponse</w:t>
            </w:r>
          </w:p>
        </w:tc>
        <w:tc>
          <w:tcPr>
            <w:tcW w:type="dxa" w:w="2179"/>
            <w:vAlign w:val="top"/>
          </w:tcPr>
          <w:p>
            <w:pPr>
              <w:spacing w:after="0"/>
            </w:pPr>
            <w:r>
              <w:rPr>
                <w:sz w:val="12"/>
              </w:rPr>
              <w:t>Immutable launch snapshot.</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/api/v1/organizations/{organizationId}/campaigns/{campaignId}/offline-manifest</w:t>
            </w:r>
          </w:p>
        </w:tc>
        <w:tc>
          <w:tcPr>
            <w:tcW w:type="dxa" w:w="2179"/>
            <w:vAlign w:val="top"/>
          </w:tcPr>
          <w:p>
            <w:pPr>
              <w:spacing w:after="0"/>
            </w:pPr>
            <w:r>
              <w:rPr>
                <w:sz w:val="12"/>
              </w:rPr>
              <w:t>Bearer</w:t>
            </w:r>
          </w:p>
        </w:tc>
        <w:tc>
          <w:tcPr>
            <w:tcW w:type="dxa" w:w="2179"/>
            <w:vAlign w:val="top"/>
          </w:tcPr>
          <w:p>
            <w:pPr>
              <w:spacing w:after="0"/>
            </w:pPr>
            <w:r>
              <w:rPr>
                <w:sz w:val="12"/>
              </w:rPr>
              <w:t>Authorized membership + campaign access</w:t>
            </w:r>
          </w:p>
        </w:tc>
        <w:tc>
          <w:tcPr>
            <w:tcW w:type="dxa" w:w="2179"/>
            <w:vAlign w:val="top"/>
          </w:tcPr>
          <w:p>
            <w:pPr>
              <w:spacing w:after="0"/>
            </w:pPr>
            <w:r>
              <w:rPr>
                <w:sz w:val="12"/>
              </w:rPr>
              <w:t>deviceInstallationId/packageVersion?</w:t>
            </w:r>
          </w:p>
        </w:tc>
        <w:tc>
          <w:tcPr>
            <w:tcW w:type="dxa" w:w="2179"/>
            <w:vAlign w:val="top"/>
          </w:tcPr>
          <w:p>
            <w:pPr>
              <w:spacing w:after="0"/>
            </w:pPr>
            <w:r>
              <w:rPr>
                <w:sz w:val="12"/>
              </w:rPr>
              <w:t>OfflineManifestResponse</w:t>
            </w:r>
          </w:p>
        </w:tc>
        <w:tc>
          <w:tcPr>
            <w:tcW w:type="dxa" w:w="2179"/>
            <w:vAlign w:val="top"/>
          </w:tcPr>
          <w:p>
            <w:pPr>
              <w:spacing w:after="0"/>
            </w:pPr>
            <w:r>
              <w:rPr>
                <w:sz w:val="12"/>
              </w:rPr>
              <w:t>Returns current authorized manifest metadata.</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/api/v1/organizations/{organizationId}/campaigns/{campaignId}/offline-package</w:t>
            </w:r>
          </w:p>
        </w:tc>
        <w:tc>
          <w:tcPr>
            <w:tcW w:type="dxa" w:w="2179"/>
            <w:vAlign w:val="top"/>
          </w:tcPr>
          <w:p>
            <w:pPr>
              <w:spacing w:after="0"/>
            </w:pPr>
            <w:r>
              <w:rPr>
                <w:sz w:val="12"/>
              </w:rPr>
              <w:t>Bearer</w:t>
            </w:r>
          </w:p>
        </w:tc>
        <w:tc>
          <w:tcPr>
            <w:tcW w:type="dxa" w:w="2179"/>
            <w:vAlign w:val="top"/>
          </w:tcPr>
          <w:p>
            <w:pPr>
              <w:spacing w:after="0"/>
            </w:pPr>
            <w:r>
              <w:rPr>
                <w:sz w:val="12"/>
              </w:rPr>
              <w:t>Authorized membership + campaign access</w:t>
            </w:r>
          </w:p>
        </w:tc>
        <w:tc>
          <w:tcPr>
            <w:tcW w:type="dxa" w:w="2179"/>
            <w:vAlign w:val="top"/>
          </w:tcPr>
          <w:p>
            <w:pPr>
              <w:spacing w:after="0"/>
            </w:pPr>
            <w:r>
              <w:rPr>
                <w:sz w:val="12"/>
              </w:rPr>
              <w:t>deviceInstallationId + manifest/version</w:t>
            </w:r>
          </w:p>
        </w:tc>
        <w:tc>
          <w:tcPr>
            <w:tcW w:type="dxa" w:w="2179"/>
            <w:vAlign w:val="top"/>
          </w:tcPr>
          <w:p>
            <w:pPr>
              <w:spacing w:after="0"/>
            </w:pPr>
            <w:r>
              <w:rPr>
                <w:sz w:val="12"/>
              </w:rPr>
              <w:t>Binary/stream package</w:t>
            </w:r>
          </w:p>
        </w:tc>
        <w:tc>
          <w:tcPr>
            <w:tcW w:type="dxa" w:w="2179"/>
            <w:vAlign w:val="top"/>
          </w:tcPr>
          <w:p>
            <w:pPr>
              <w:spacing w:after="0"/>
            </w:pPr>
            <w:r>
              <w:rPr>
                <w:sz w:val="12"/>
              </w:rPr>
              <w:t>Campaign-scoped complete authorized package; integrity headers.</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/api/v1/organizations/{organizationId}/campaigns/{campaignId}/stocktaking</w:t>
            </w:r>
          </w:p>
        </w:tc>
        <w:tc>
          <w:tcPr>
            <w:tcW w:type="dxa" w:w="2179"/>
            <w:vAlign w:val="top"/>
          </w:tcPr>
          <w:p>
            <w:pPr>
              <w:spacing w:after="0"/>
            </w:pPr>
            <w:r>
              <w:rPr>
                <w:sz w:val="12"/>
              </w:rPr>
              <w:t>Bearer</w:t>
            </w:r>
          </w:p>
        </w:tc>
        <w:tc>
          <w:tcPr>
            <w:tcW w:type="dxa" w:w="2179"/>
            <w:vAlign w:val="top"/>
          </w:tcPr>
          <w:p>
            <w:pPr>
              <w:spacing w:after="0"/>
            </w:pPr>
            <w:r>
              <w:rPr>
                <w:sz w:val="12"/>
              </w:rPr>
              <w:t>Authorized campaign access</w:t>
            </w:r>
          </w:p>
        </w:tc>
        <w:tc>
          <w:tcPr>
            <w:tcW w:type="dxa" w:w="2179"/>
            <w:vAlign w:val="top"/>
          </w:tcPr>
          <w:p>
            <w:pPr>
              <w:spacing w:after="0"/>
            </w:pPr>
            <w:r>
              <w:rPr>
                <w:sz w:val="12"/>
              </w:rPr>
              <w:t>CursorQuery + location/unit/status</w:t>
            </w:r>
          </w:p>
        </w:tc>
        <w:tc>
          <w:tcPr>
            <w:tcW w:type="dxa" w:w="2179"/>
            <w:vAlign w:val="top"/>
          </w:tcPr>
          <w:p>
            <w:pPr>
              <w:spacing w:after="0"/>
            </w:pPr>
            <w:r>
              <w:rPr>
                <w:sz w:val="12"/>
              </w:rPr>
              <w:t>Page&lt;StocktakingRecordResponse&gt;</w:t>
            </w:r>
          </w:p>
        </w:tc>
        <w:tc>
          <w:tcPr>
            <w:tcW w:type="dxa" w:w="2179"/>
            <w:vAlign w:val="top"/>
          </w:tcPr>
          <w:p>
            <w:pPr>
              <w:spacing w:after="0"/>
            </w:pPr>
            <w:r>
              <w:rPr>
                <w:sz w:val="12"/>
              </w:rPr>
              <w:t>Read progress; mutation rights separate.</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/api/v1/organizations/{organizationId}/campaigns/{campaignId}/stocktaking/{recordId}</w:t>
            </w:r>
          </w:p>
        </w:tc>
        <w:tc>
          <w:tcPr>
            <w:tcW w:type="dxa" w:w="2179"/>
            <w:vAlign w:val="top"/>
          </w:tcPr>
          <w:p>
            <w:pPr>
              <w:spacing w:after="0"/>
            </w:pPr>
            <w:r>
              <w:rPr>
                <w:sz w:val="12"/>
              </w:rPr>
              <w:t>Bearer</w:t>
            </w:r>
          </w:p>
        </w:tc>
        <w:tc>
          <w:tcPr>
            <w:tcW w:type="dxa" w:w="2179"/>
            <w:vAlign w:val="top"/>
          </w:tcPr>
          <w:p>
            <w:pPr>
              <w:spacing w:after="0"/>
            </w:pPr>
            <w:r>
              <w:rPr>
                <w:sz w:val="12"/>
              </w:rPr>
              <w:t>Authorized campaign access</w:t>
            </w:r>
          </w:p>
        </w:tc>
        <w:tc>
          <w:tcPr>
            <w:tcW w:type="dxa" w:w="2179"/>
            <w:vAlign w:val="top"/>
          </w:tcPr>
          <w:p>
            <w:pPr>
              <w:spacing w:after="0"/>
            </w:pPr>
            <w:r>
              <w:rPr>
                <w:sz w:val="12"/>
              </w:rPr>
              <w:t>—</w:t>
            </w:r>
          </w:p>
        </w:tc>
        <w:tc>
          <w:tcPr>
            <w:tcW w:type="dxa" w:w="2179"/>
            <w:vAlign w:val="top"/>
          </w:tcPr>
          <w:p>
            <w:pPr>
              <w:spacing w:after="0"/>
            </w:pPr>
            <w:r>
              <w:rPr>
                <w:sz w:val="12"/>
              </w:rPr>
              <w:t>StocktakingRecordResponse</w:t>
            </w:r>
          </w:p>
        </w:tc>
        <w:tc>
          <w:tcPr>
            <w:tcW w:type="dxa" w:w="2179"/>
            <w:vAlign w:val="top"/>
          </w:tcPr>
          <w:p>
            <w:pPr>
              <w:spacing w:after="0"/>
            </w:pPr>
            <w:r>
              <w:rPr>
                <w:sz w:val="12"/>
              </w:rPr>
              <w:t>Current revision + contextual issues/evidence summaries.</w:t>
            </w:r>
          </w:p>
        </w:tc>
      </w:tr>
      <w:tr>
        <w:tc>
          <w:tcPr>
            <w:tcW w:type="dxa" w:w="2179"/>
            <w:vAlign w:val="top"/>
          </w:tcPr>
          <w:p>
            <w:pPr>
              <w:spacing w:after="0"/>
            </w:pPr>
            <w:r>
              <w:rPr>
                <w:sz w:val="12"/>
              </w:rPr>
              <w:t>PUT</w:t>
            </w:r>
          </w:p>
        </w:tc>
        <w:tc>
          <w:tcPr>
            <w:tcW w:type="dxa" w:w="2179"/>
            <w:vAlign w:val="top"/>
          </w:tcPr>
          <w:p>
            <w:pPr>
              <w:spacing w:after="0"/>
            </w:pPr>
            <w:r>
              <w:rPr>
                <w:sz w:val="12"/>
              </w:rPr>
              <w:t>/api/v1/organizations/{organizationId}/campaigns/{campaignId}/stocktaking/{recordId}/working-revision</w:t>
            </w:r>
          </w:p>
        </w:tc>
        <w:tc>
          <w:tcPr>
            <w:tcW w:type="dxa" w:w="2179"/>
            <w:vAlign w:val="top"/>
          </w:tcPr>
          <w:p>
            <w:pPr>
              <w:spacing w:after="0"/>
            </w:pPr>
            <w:r>
              <w:rPr>
                <w:sz w:val="12"/>
              </w:rPr>
              <w:t>Bearer</w:t>
            </w:r>
          </w:p>
        </w:tc>
        <w:tc>
          <w:tcPr>
            <w:tcW w:type="dxa" w:w="2179"/>
            <w:vAlign w:val="top"/>
          </w:tcPr>
          <w:p>
            <w:pPr>
              <w:spacing w:after="0"/>
            </w:pPr>
            <w:r>
              <w:rPr>
                <w:sz w:val="12"/>
              </w:rPr>
              <w:t>Campaign Team; ACTIVE</w:t>
            </w:r>
          </w:p>
        </w:tc>
        <w:tc>
          <w:tcPr>
            <w:tcW w:type="dxa" w:w="2179"/>
            <w:vAlign w:val="top"/>
          </w:tcPr>
          <w:p>
            <w:pPr>
              <w:spacing w:after="0"/>
            </w:pPr>
            <w:r>
              <w:rPr>
                <w:sz w:val="12"/>
              </w:rPr>
              <w:t>StocktakingRevisionUpsertRequest</w:t>
            </w:r>
          </w:p>
        </w:tc>
        <w:tc>
          <w:tcPr>
            <w:tcW w:type="dxa" w:w="2179"/>
            <w:vAlign w:val="top"/>
          </w:tcPr>
          <w:p>
            <w:pPr>
              <w:spacing w:after="0"/>
            </w:pPr>
            <w:r>
              <w:rPr>
                <w:sz w:val="12"/>
              </w:rPr>
              <w:t>StocktakingRevisionResponse</w:t>
            </w:r>
          </w:p>
        </w:tc>
        <w:tc>
          <w:tcPr>
            <w:tcW w:type="dxa" w:w="2179"/>
            <w:vAlign w:val="top"/>
          </w:tcPr>
          <w:p>
            <w:pPr>
              <w:spacing w:after="0"/>
            </w:pPr>
            <w:r>
              <w:rPr>
                <w:sz w:val="12"/>
              </w:rPr>
              <w:t>Synchronized mutation; idempotency + base version.</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/api/v1/organizations/{organizationId}/campaigns/{campaignId}/stocktaking/{recordId}:validate</w:t>
            </w:r>
          </w:p>
        </w:tc>
        <w:tc>
          <w:tcPr>
            <w:tcW w:type="dxa" w:w="2179"/>
            <w:vAlign w:val="top"/>
          </w:tcPr>
          <w:p>
            <w:pPr>
              <w:spacing w:after="0"/>
            </w:pPr>
            <w:r>
              <w:rPr>
                <w:sz w:val="12"/>
              </w:rPr>
              <w:t>Bearer</w:t>
            </w:r>
          </w:p>
        </w:tc>
        <w:tc>
          <w:tcPr>
            <w:tcW w:type="dxa" w:w="2179"/>
            <w:vAlign w:val="top"/>
          </w:tcPr>
          <w:p>
            <w:pPr>
              <w:spacing w:after="0"/>
            </w:pPr>
            <w:r>
              <w:rPr>
                <w:sz w:val="12"/>
              </w:rPr>
              <w:t>Campaign Team; ACTIVE</w:t>
            </w:r>
          </w:p>
        </w:tc>
        <w:tc>
          <w:tcPr>
            <w:tcW w:type="dxa" w:w="2179"/>
            <w:vAlign w:val="top"/>
          </w:tcPr>
          <w:p>
            <w:pPr>
              <w:spacing w:after="0"/>
            </w:pPr>
            <w:r>
              <w:rPr>
                <w:sz w:val="12"/>
              </w:rPr>
              <w:t>ValidateStocktakingRequest</w:t>
            </w:r>
          </w:p>
        </w:tc>
        <w:tc>
          <w:tcPr>
            <w:tcW w:type="dxa" w:w="2179"/>
            <w:vAlign w:val="top"/>
          </w:tcPr>
          <w:p>
            <w:pPr>
              <w:spacing w:after="0"/>
            </w:pPr>
            <w:r>
              <w:rPr>
                <w:sz w:val="12"/>
              </w:rPr>
              <w:t>StocktakingRevisionResponse</w:t>
            </w:r>
          </w:p>
        </w:tc>
        <w:tc>
          <w:tcPr>
            <w:tcW w:type="dxa" w:w="2179"/>
            <w:vAlign w:val="top"/>
          </w:tcPr>
          <w:p>
            <w:pPr>
              <w:spacing w:after="0"/>
            </w:pPr>
            <w:r>
              <w:rPr>
                <w:sz w:val="12"/>
              </w:rPr>
              <w:t>Server revalidates non-empty/measurement/calculation/evidence rules.</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/api/v1/organizations/{organizationId}/campaigns/{campaignId}/stocktaking/{recordId}:mark-empty</w:t>
            </w:r>
          </w:p>
        </w:tc>
        <w:tc>
          <w:tcPr>
            <w:tcW w:type="dxa" w:w="2179"/>
            <w:vAlign w:val="top"/>
          </w:tcPr>
          <w:p>
            <w:pPr>
              <w:spacing w:after="0"/>
            </w:pPr>
            <w:r>
              <w:rPr>
                <w:sz w:val="12"/>
              </w:rPr>
              <w:t>Bearer</w:t>
            </w:r>
          </w:p>
        </w:tc>
        <w:tc>
          <w:tcPr>
            <w:tcW w:type="dxa" w:w="2179"/>
            <w:vAlign w:val="top"/>
          </w:tcPr>
          <w:p>
            <w:pPr>
              <w:spacing w:after="0"/>
            </w:pPr>
            <w:r>
              <w:rPr>
                <w:sz w:val="12"/>
              </w:rPr>
              <w:t>Campaign Team; ACTIVE</w:t>
            </w:r>
          </w:p>
        </w:tc>
        <w:tc>
          <w:tcPr>
            <w:tcW w:type="dxa" w:w="2179"/>
            <w:vAlign w:val="top"/>
          </w:tcPr>
          <w:p>
            <w:pPr>
              <w:spacing w:after="0"/>
            </w:pPr>
            <w:r>
              <w:rPr>
                <w:sz w:val="12"/>
              </w:rPr>
              <w:t>MarkEmptyRequest</w:t>
            </w:r>
          </w:p>
        </w:tc>
        <w:tc>
          <w:tcPr>
            <w:tcW w:type="dxa" w:w="2179"/>
            <w:vAlign w:val="top"/>
          </w:tcPr>
          <w:p>
            <w:pPr>
              <w:spacing w:after="0"/>
            </w:pPr>
            <w:r>
              <w:rPr>
                <w:sz w:val="12"/>
              </w:rPr>
              <w:t>StocktakingRevisionResponse</w:t>
            </w:r>
          </w:p>
        </w:tc>
        <w:tc>
          <w:tcPr>
            <w:tcW w:type="dxa" w:w="2179"/>
            <w:vAlign w:val="top"/>
          </w:tcPr>
          <w:p>
            <w:pPr>
              <w:spacing w:after="0"/>
            </w:pPr>
            <w:r>
              <w:rPr>
                <w:sz w:val="12"/>
              </w:rPr>
              <w:t>Creates Validated empty semantics; does not auto-resolve issues.</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/api/v1/organizations/{organizationId}/campaigns/{campaignId}/stocktaking/{recordId}:reset-validation</w:t>
            </w:r>
          </w:p>
        </w:tc>
        <w:tc>
          <w:tcPr>
            <w:tcW w:type="dxa" w:w="2179"/>
            <w:vAlign w:val="top"/>
          </w:tcPr>
          <w:p>
            <w:pPr>
              <w:spacing w:after="0"/>
            </w:pPr>
            <w:r>
              <w:rPr>
                <w:sz w:val="12"/>
              </w:rPr>
              <w:t>Bearer</w:t>
            </w:r>
          </w:p>
        </w:tc>
        <w:tc>
          <w:tcPr>
            <w:tcW w:type="dxa" w:w="2179"/>
            <w:vAlign w:val="top"/>
          </w:tcPr>
          <w:p>
            <w:pPr>
              <w:spacing w:after="0"/>
            </w:pPr>
            <w:r>
              <w:rPr>
                <w:sz w:val="12"/>
              </w:rPr>
              <w:t>Admin; ACTIVE</w:t>
            </w:r>
          </w:p>
        </w:tc>
        <w:tc>
          <w:tcPr>
            <w:tcW w:type="dxa" w:w="2179"/>
            <w:vAlign w:val="top"/>
          </w:tcPr>
          <w:p>
            <w:pPr>
              <w:spacing w:after="0"/>
            </w:pPr>
            <w:r>
              <w:rPr>
                <w:sz w:val="12"/>
              </w:rPr>
              <w:t>ResetValidationRequest</w:t>
            </w:r>
          </w:p>
        </w:tc>
        <w:tc>
          <w:tcPr>
            <w:tcW w:type="dxa" w:w="2179"/>
            <w:vAlign w:val="top"/>
          </w:tcPr>
          <w:p>
            <w:pPr>
              <w:spacing w:after="0"/>
            </w:pPr>
            <w:r>
              <w:rPr>
                <w:sz w:val="12"/>
              </w:rPr>
              <w:t>StocktakingRevisionResponse</w:t>
            </w:r>
          </w:p>
        </w:tc>
        <w:tc>
          <w:tcPr>
            <w:tcW w:type="dxa" w:w="2179"/>
            <w:vAlign w:val="top"/>
          </w:tcPr>
          <w:p>
            <w:pPr>
              <w:spacing w:after="0"/>
            </w:pPr>
            <w:r>
              <w:rPr>
                <w:sz w:val="12"/>
              </w:rPr>
              <w:t>Creates new working revision; prior validated revision immutable.</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/api/v1/organizations/{organizationId}/campaigns/{campaignId}/stocktaking/{recordId}/revisions</w:t>
            </w:r>
          </w:p>
        </w:tc>
        <w:tc>
          <w:tcPr>
            <w:tcW w:type="dxa" w:w="2179"/>
            <w:vAlign w:val="top"/>
          </w:tcPr>
          <w:p>
            <w:pPr>
              <w:spacing w:after="0"/>
            </w:pPr>
            <w:r>
              <w:rPr>
                <w:sz w:val="12"/>
              </w:rPr>
              <w:t>Bearer</w:t>
            </w:r>
          </w:p>
        </w:tc>
        <w:tc>
          <w:tcPr>
            <w:tcW w:type="dxa" w:w="2179"/>
            <w:vAlign w:val="top"/>
          </w:tcPr>
          <w:p>
            <w:pPr>
              <w:spacing w:after="0"/>
            </w:pPr>
            <w:r>
              <w:rPr>
                <w:sz w:val="12"/>
              </w:rPr>
              <w:t>Authorized campaign access</w:t>
            </w:r>
          </w:p>
        </w:tc>
        <w:tc>
          <w:tcPr>
            <w:tcW w:type="dxa" w:w="2179"/>
            <w:vAlign w:val="top"/>
          </w:tcPr>
          <w:p>
            <w:pPr>
              <w:spacing w:after="0"/>
            </w:pPr>
            <w:r>
              <w:rPr>
                <w:sz w:val="12"/>
              </w:rPr>
              <w:t>CursorQuery</w:t>
            </w:r>
          </w:p>
        </w:tc>
        <w:tc>
          <w:tcPr>
            <w:tcW w:type="dxa" w:w="2179"/>
            <w:vAlign w:val="top"/>
          </w:tcPr>
          <w:p>
            <w:pPr>
              <w:spacing w:after="0"/>
            </w:pPr>
            <w:r>
              <w:rPr>
                <w:sz w:val="12"/>
              </w:rPr>
              <w:t>Page&lt;StocktakingRevisionResponse&gt;</w:t>
            </w:r>
          </w:p>
        </w:tc>
        <w:tc>
          <w:tcPr>
            <w:tcW w:type="dxa" w:w="2179"/>
            <w:vAlign w:val="top"/>
          </w:tcPr>
          <w:p>
            <w:pPr>
              <w:spacing w:after="0"/>
            </w:pPr>
            <w:r>
              <w:rPr>
                <w:sz w:val="12"/>
              </w:rPr>
              <w:t>Revision history.</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/api/v1/organizations/{organizationId}/campaigns/{campaignId}/stocktaking/{recordId}/issues</w:t>
            </w:r>
          </w:p>
        </w:tc>
        <w:tc>
          <w:tcPr>
            <w:tcW w:type="dxa" w:w="2179"/>
            <w:vAlign w:val="top"/>
          </w:tcPr>
          <w:p>
            <w:pPr>
              <w:spacing w:after="0"/>
            </w:pPr>
            <w:r>
              <w:rPr>
                <w:sz w:val="12"/>
              </w:rPr>
              <w:t>Bearer</w:t>
            </w:r>
          </w:p>
        </w:tc>
        <w:tc>
          <w:tcPr>
            <w:tcW w:type="dxa" w:w="2179"/>
            <w:vAlign w:val="top"/>
          </w:tcPr>
          <w:p>
            <w:pPr>
              <w:spacing w:after="0"/>
            </w:pPr>
            <w:r>
              <w:rPr>
                <w:sz w:val="12"/>
              </w:rPr>
              <w:t>Campaign Team; ACTIVE</w:t>
            </w:r>
          </w:p>
        </w:tc>
        <w:tc>
          <w:tcPr>
            <w:tcW w:type="dxa" w:w="2179"/>
            <w:vAlign w:val="top"/>
          </w:tcPr>
          <w:p>
            <w:pPr>
              <w:spacing w:after="0"/>
            </w:pPr>
            <w:r>
              <w:rPr>
                <w:sz w:val="12"/>
              </w:rPr>
              <w:t>IssueCreateRequest</w:t>
            </w:r>
          </w:p>
        </w:tc>
        <w:tc>
          <w:tcPr>
            <w:tcW w:type="dxa" w:w="2179"/>
            <w:vAlign w:val="top"/>
          </w:tcPr>
          <w:p>
            <w:pPr>
              <w:spacing w:after="0"/>
            </w:pPr>
            <w:r>
              <w:rPr>
                <w:sz w:val="12"/>
              </w:rPr>
              <w:t>IssueResponse</w:t>
            </w:r>
          </w:p>
        </w:tc>
        <w:tc>
          <w:tcPr>
            <w:tcW w:type="dxa" w:w="2179"/>
            <w:vAlign w:val="top"/>
          </w:tcPr>
          <w:p>
            <w:pPr>
              <w:spacing w:after="0"/>
            </w:pPr>
            <w:r>
              <w:rPr>
                <w:sz w:val="12"/>
              </w:rPr>
              <w:t>Six frozen categories; description mandatory.</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/api/v1/organizations/{organizationId}/campaigns/{campaignId}/stocktaking/{recordId}/issues</w:t>
            </w:r>
          </w:p>
        </w:tc>
        <w:tc>
          <w:tcPr>
            <w:tcW w:type="dxa" w:w="2179"/>
            <w:vAlign w:val="top"/>
          </w:tcPr>
          <w:p>
            <w:pPr>
              <w:spacing w:after="0"/>
            </w:pPr>
            <w:r>
              <w:rPr>
                <w:sz w:val="12"/>
              </w:rPr>
              <w:t>Bearer</w:t>
            </w:r>
          </w:p>
        </w:tc>
        <w:tc>
          <w:tcPr>
            <w:tcW w:type="dxa" w:w="2179"/>
            <w:vAlign w:val="top"/>
          </w:tcPr>
          <w:p>
            <w:pPr>
              <w:spacing w:after="0"/>
            </w:pPr>
            <w:r>
              <w:rPr>
                <w:sz w:val="12"/>
              </w:rPr>
              <w:t>Authorized campaign access</w:t>
            </w:r>
          </w:p>
        </w:tc>
        <w:tc>
          <w:tcPr>
            <w:tcW w:type="dxa" w:w="2179"/>
            <w:vAlign w:val="top"/>
          </w:tcPr>
          <w:p>
            <w:pPr>
              <w:spacing w:after="0"/>
            </w:pPr>
            <w:r>
              <w:rPr>
                <w:sz w:val="12"/>
              </w:rPr>
              <w:t>CursorQuery + status</w:t>
            </w:r>
          </w:p>
        </w:tc>
        <w:tc>
          <w:tcPr>
            <w:tcW w:type="dxa" w:w="2179"/>
            <w:vAlign w:val="top"/>
          </w:tcPr>
          <w:p>
            <w:pPr>
              <w:spacing w:after="0"/>
            </w:pPr>
            <w:r>
              <w:rPr>
                <w:sz w:val="12"/>
              </w:rPr>
              <w:t>Page&lt;IssueResponse&gt;</w:t>
            </w:r>
          </w:p>
        </w:tc>
        <w:tc>
          <w:tcPr>
            <w:tcW w:type="dxa" w:w="2179"/>
            <w:vAlign w:val="top"/>
          </w:tcPr>
          <w:p>
            <w:pPr>
              <w:spacing w:after="0"/>
            </w:pPr>
            <w:r>
              <w:rPr>
                <w:sz w:val="12"/>
              </w:rPr>
              <w:t>Contextual issues; no global issue module.</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/api/v1/organizations/{organizationId}/campaigns/{campaignId}/issues/{issueId}:resolve</w:t>
            </w:r>
          </w:p>
        </w:tc>
        <w:tc>
          <w:tcPr>
            <w:tcW w:type="dxa" w:w="2179"/>
            <w:vAlign w:val="top"/>
          </w:tcPr>
          <w:p>
            <w:pPr>
              <w:spacing w:after="0"/>
            </w:pPr>
            <w:r>
              <w:rPr>
                <w:sz w:val="12"/>
              </w:rPr>
              <w:t>Bearer</w:t>
            </w:r>
          </w:p>
        </w:tc>
        <w:tc>
          <w:tcPr>
            <w:tcW w:type="dxa" w:w="2179"/>
            <w:vAlign w:val="top"/>
          </w:tcPr>
          <w:p>
            <w:pPr>
              <w:spacing w:after="0"/>
            </w:pPr>
            <w:r>
              <w:rPr>
                <w:sz w:val="12"/>
              </w:rPr>
              <w:t>Authorized campaign user</w:t>
            </w:r>
          </w:p>
        </w:tc>
        <w:tc>
          <w:tcPr>
            <w:tcW w:type="dxa" w:w="2179"/>
            <w:vAlign w:val="top"/>
          </w:tcPr>
          <w:p>
            <w:pPr>
              <w:spacing w:after="0"/>
            </w:pPr>
            <w:r>
              <w:rPr>
                <w:sz w:val="12"/>
              </w:rPr>
              <w:t>IssueResolveRequest</w:t>
            </w:r>
          </w:p>
        </w:tc>
        <w:tc>
          <w:tcPr>
            <w:tcW w:type="dxa" w:w="2179"/>
            <w:vAlign w:val="top"/>
          </w:tcPr>
          <w:p>
            <w:pPr>
              <w:spacing w:after="0"/>
            </w:pPr>
            <w:r>
              <w:rPr>
                <w:sz w:val="12"/>
              </w:rPr>
              <w:t>IssueResponse</w:t>
            </w:r>
          </w:p>
        </w:tc>
        <w:tc>
          <w:tcPr>
            <w:tcW w:type="dxa" w:w="2179"/>
            <w:vAlign w:val="top"/>
          </w:tcPr>
          <w:p>
            <w:pPr>
              <w:spacing w:after="0"/>
            </w:pPr>
            <w:r>
              <w:rPr>
                <w:sz w:val="12"/>
              </w:rPr>
              <w:t>Explicit reason/audit.</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/api/v1/organizations/{organizationId}/campaigns/{campaignId}/issues/{issueId}:reopen</w:t>
            </w:r>
          </w:p>
        </w:tc>
        <w:tc>
          <w:tcPr>
            <w:tcW w:type="dxa" w:w="2179"/>
            <w:vAlign w:val="top"/>
          </w:tcPr>
          <w:p>
            <w:pPr>
              <w:spacing w:after="0"/>
            </w:pPr>
            <w:r>
              <w:rPr>
                <w:sz w:val="12"/>
              </w:rPr>
              <w:t>Bearer</w:t>
            </w:r>
          </w:p>
        </w:tc>
        <w:tc>
          <w:tcPr>
            <w:tcW w:type="dxa" w:w="2179"/>
            <w:vAlign w:val="top"/>
          </w:tcPr>
          <w:p>
            <w:pPr>
              <w:spacing w:after="0"/>
            </w:pPr>
            <w:r>
              <w:rPr>
                <w:sz w:val="12"/>
              </w:rPr>
              <w:t>Authorized campaign user; ACTIVE</w:t>
            </w:r>
          </w:p>
        </w:tc>
        <w:tc>
          <w:tcPr>
            <w:tcW w:type="dxa" w:w="2179"/>
            <w:vAlign w:val="top"/>
          </w:tcPr>
          <w:p>
            <w:pPr>
              <w:spacing w:after="0"/>
            </w:pPr>
            <w:r>
              <w:rPr>
                <w:sz w:val="12"/>
              </w:rPr>
              <w:t>IssueReopenRequest</w:t>
            </w:r>
          </w:p>
        </w:tc>
        <w:tc>
          <w:tcPr>
            <w:tcW w:type="dxa" w:w="2179"/>
            <w:vAlign w:val="top"/>
          </w:tcPr>
          <w:p>
            <w:pPr>
              <w:spacing w:after="0"/>
            </w:pPr>
            <w:r>
              <w:rPr>
                <w:sz w:val="12"/>
              </w:rPr>
              <w:t>IssueResponse</w:t>
            </w:r>
          </w:p>
        </w:tc>
        <w:tc>
          <w:tcPr>
            <w:tcW w:type="dxa" w:w="2179"/>
            <w:vAlign w:val="top"/>
          </w:tcPr>
          <w:p>
            <w:pPr>
              <w:spacing w:after="0"/>
            </w:pPr>
            <w:r>
              <w:rPr>
                <w:sz w:val="12"/>
              </w:rPr>
              <w:t>Not allowed after COMPLETED.</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/api/v1/organizations/{organizationId}/campaigns/{campaignId}/issues/{issueId}:accept-follow-up</w:t>
            </w:r>
          </w:p>
        </w:tc>
        <w:tc>
          <w:tcPr>
            <w:tcW w:type="dxa" w:w="2179"/>
            <w:vAlign w:val="top"/>
          </w:tcPr>
          <w:p>
            <w:pPr>
              <w:spacing w:after="0"/>
            </w:pPr>
            <w:r>
              <w:rPr>
                <w:sz w:val="12"/>
              </w:rPr>
              <w:t>Bearer</w:t>
            </w:r>
          </w:p>
        </w:tc>
        <w:tc>
          <w:tcPr>
            <w:tcW w:type="dxa" w:w="2179"/>
            <w:vAlign w:val="top"/>
          </w:tcPr>
          <w:p>
            <w:pPr>
              <w:spacing w:after="0"/>
            </w:pPr>
            <w:r>
              <w:rPr>
                <w:sz w:val="12"/>
              </w:rPr>
              <w:t>Admin; Close context</w:t>
            </w:r>
          </w:p>
        </w:tc>
        <w:tc>
          <w:tcPr>
            <w:tcW w:type="dxa" w:w="2179"/>
            <w:vAlign w:val="top"/>
          </w:tcPr>
          <w:p>
            <w:pPr>
              <w:spacing w:after="0"/>
            </w:pPr>
            <w:r>
              <w:rPr>
                <w:sz w:val="12"/>
              </w:rPr>
              <w:t>IssueResolveRequest</w:t>
            </w:r>
          </w:p>
        </w:tc>
        <w:tc>
          <w:tcPr>
            <w:tcW w:type="dxa" w:w="2179"/>
            <w:vAlign w:val="top"/>
          </w:tcPr>
          <w:p>
            <w:pPr>
              <w:spacing w:after="0"/>
            </w:pPr>
            <w:r>
              <w:rPr>
                <w:sz w:val="12"/>
              </w:rPr>
              <w:t>IssueResponse</w:t>
            </w:r>
          </w:p>
        </w:tc>
        <w:tc>
          <w:tcPr>
            <w:tcW w:type="dxa" w:w="2179"/>
            <w:vAlign w:val="top"/>
          </w:tcPr>
          <w:p>
            <w:pPr>
              <w:spacing w:after="0"/>
            </w:pPr>
            <w:r>
              <w:rPr>
                <w:sz w:val="12"/>
              </w:rPr>
              <w:t>OPEN→RESOLVED with CLOSE_FOLLOW_UP_ACCEPTANCE.</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/api/v1/organizations/{organizationId}/campaigns/{campaignId}/evidence</w:t>
            </w:r>
          </w:p>
        </w:tc>
        <w:tc>
          <w:tcPr>
            <w:tcW w:type="dxa" w:w="2179"/>
            <w:vAlign w:val="top"/>
          </w:tcPr>
          <w:p>
            <w:pPr>
              <w:spacing w:after="0"/>
            </w:pPr>
            <w:r>
              <w:rPr>
                <w:sz w:val="12"/>
              </w:rPr>
              <w:t>Bearer</w:t>
            </w:r>
          </w:p>
        </w:tc>
        <w:tc>
          <w:tcPr>
            <w:tcW w:type="dxa" w:w="2179"/>
            <w:vAlign w:val="top"/>
          </w:tcPr>
          <w:p>
            <w:pPr>
              <w:spacing w:after="0"/>
            </w:pPr>
            <w:r>
              <w:rPr>
                <w:sz w:val="12"/>
              </w:rPr>
              <w:t>Campaign Team; ACTIVE</w:t>
            </w:r>
          </w:p>
        </w:tc>
        <w:tc>
          <w:tcPr>
            <w:tcW w:type="dxa" w:w="2179"/>
            <w:vAlign w:val="top"/>
          </w:tcPr>
          <w:p>
            <w:pPr>
              <w:spacing w:after="0"/>
            </w:pPr>
            <w:r>
              <w:rPr>
                <w:sz w:val="12"/>
              </w:rPr>
              <w:t>EvidenceMetadataCreateRequest</w:t>
            </w:r>
          </w:p>
        </w:tc>
        <w:tc>
          <w:tcPr>
            <w:tcW w:type="dxa" w:w="2179"/>
            <w:vAlign w:val="top"/>
          </w:tcPr>
          <w:p>
            <w:pPr>
              <w:spacing w:after="0"/>
            </w:pPr>
            <w:r>
              <w:rPr>
                <w:sz w:val="12"/>
              </w:rPr>
              <w:t>EvidenceResponse</w:t>
            </w:r>
          </w:p>
        </w:tc>
        <w:tc>
          <w:tcPr>
            <w:tcW w:type="dxa" w:w="2179"/>
            <w:vAlign w:val="top"/>
          </w:tcPr>
          <w:p>
            <w:pPr>
              <w:spacing w:after="0"/>
            </w:pPr>
            <w:r>
              <w:rPr>
                <w:sz w:val="12"/>
              </w:rPr>
              <w:t>Creates NOTE or PHOTO metadata; PHOTO then uses binary transfer.</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/api/v1/organizations/{organizationId}/campaigns/{campaignId}/evidence/{evidenceId}/upload</w:t>
            </w:r>
          </w:p>
        </w:tc>
        <w:tc>
          <w:tcPr>
            <w:tcW w:type="dxa" w:w="2179"/>
            <w:vAlign w:val="top"/>
          </w:tcPr>
          <w:p>
            <w:pPr>
              <w:spacing w:after="0"/>
            </w:pPr>
            <w:r>
              <w:rPr>
                <w:sz w:val="12"/>
              </w:rPr>
              <w:t>Bearer</w:t>
            </w:r>
          </w:p>
        </w:tc>
        <w:tc>
          <w:tcPr>
            <w:tcW w:type="dxa" w:w="2179"/>
            <w:vAlign w:val="top"/>
          </w:tcPr>
          <w:p>
            <w:pPr>
              <w:spacing w:after="0"/>
            </w:pPr>
            <w:r>
              <w:rPr>
                <w:sz w:val="12"/>
              </w:rPr>
              <w:t>Authorized owner context</w:t>
            </w:r>
          </w:p>
        </w:tc>
        <w:tc>
          <w:tcPr>
            <w:tcW w:type="dxa" w:w="2179"/>
            <w:vAlign w:val="top"/>
          </w:tcPr>
          <w:p>
            <w:pPr>
              <w:spacing w:after="0"/>
            </w:pPr>
            <w:r>
              <w:rPr>
                <w:sz w:val="12"/>
              </w:rPr>
              <w:t>multipart/binary JPEG</w:t>
            </w:r>
          </w:p>
        </w:tc>
        <w:tc>
          <w:tcPr>
            <w:tcW w:type="dxa" w:w="2179"/>
            <w:vAlign w:val="top"/>
          </w:tcPr>
          <w:p>
            <w:pPr>
              <w:spacing w:after="0"/>
            </w:pPr>
            <w:r>
              <w:rPr>
                <w:sz w:val="12"/>
              </w:rPr>
              <w:t>EvidenceResponse</w:t>
            </w:r>
          </w:p>
        </w:tc>
        <w:tc>
          <w:tcPr>
            <w:tcW w:type="dxa" w:w="2179"/>
            <w:vAlign w:val="top"/>
          </w:tcPr>
          <w:p>
            <w:pPr>
              <w:spacing w:after="0"/>
            </w:pPr>
            <w:r>
              <w:rPr>
                <w:sz w:val="12"/>
              </w:rPr>
              <w:t>Controlled binary transfer; SHA-256 verification; hard max 3 MB.</w:t>
            </w:r>
          </w:p>
        </w:tc>
      </w:tr>
      <w:tr>
        <w:tc>
          <w:tcPr>
            <w:tcW w:type="dxa" w:w="2179"/>
            <w:vAlign w:val="top"/>
          </w:tcPr>
          <w:p>
            <w:pPr>
              <w:spacing w:after="0"/>
            </w:pPr>
            <w:r>
              <w:rPr>
                <w:sz w:val="12"/>
              </w:rPr>
              <w:t>DELETE</w:t>
            </w:r>
          </w:p>
        </w:tc>
        <w:tc>
          <w:tcPr>
            <w:tcW w:type="dxa" w:w="2179"/>
            <w:vAlign w:val="top"/>
          </w:tcPr>
          <w:p>
            <w:pPr>
              <w:spacing w:after="0"/>
            </w:pPr>
            <w:r>
              <w:rPr>
                <w:sz w:val="12"/>
              </w:rPr>
              <w:t>/api/v1/organizations/{organizationId}/campaigns/{campaignId}/evidence/{evidenceId}</w:t>
            </w:r>
          </w:p>
        </w:tc>
        <w:tc>
          <w:tcPr>
            <w:tcW w:type="dxa" w:w="2179"/>
            <w:vAlign w:val="top"/>
          </w:tcPr>
          <w:p>
            <w:pPr>
              <w:spacing w:after="0"/>
            </w:pPr>
            <w:r>
              <w:rPr>
                <w:sz w:val="12"/>
              </w:rPr>
              <w:t>Bearer</w:t>
            </w:r>
          </w:p>
        </w:tc>
        <w:tc>
          <w:tcPr>
            <w:tcW w:type="dxa" w:w="2179"/>
            <w:vAlign w:val="top"/>
          </w:tcPr>
          <w:p>
            <w:pPr>
              <w:spacing w:after="0"/>
            </w:pPr>
            <w:r>
              <w:rPr>
                <w:sz w:val="12"/>
              </w:rPr>
              <w:t>Authorized actor; working only</w:t>
            </w:r>
          </w:p>
        </w:tc>
        <w:tc>
          <w:tcPr>
            <w:tcW w:type="dxa" w:w="2179"/>
            <w:vAlign w:val="top"/>
          </w:tcPr>
          <w:p>
            <w:pPr>
              <w:spacing w:after="0"/>
            </w:pPr>
            <w:r>
              <w:rPr>
                <w:sz w:val="12"/>
              </w:rPr>
              <w:t>MutationControl</w:t>
            </w:r>
          </w:p>
        </w:tc>
        <w:tc>
          <w:tcPr>
            <w:tcW w:type="dxa" w:w="2179"/>
            <w:vAlign w:val="top"/>
          </w:tcPr>
          <w:p>
            <w:pPr>
              <w:spacing w:after="0"/>
            </w:pPr>
            <w:r>
              <w:rPr>
                <w:sz w:val="12"/>
              </w:rPr>
              <w:t>204</w:t>
            </w:r>
          </w:p>
        </w:tc>
        <w:tc>
          <w:tcPr>
            <w:tcW w:type="dxa" w:w="2179"/>
            <w:vAlign w:val="top"/>
          </w:tcPr>
          <w:p>
            <w:pPr>
              <w:spacing w:after="0"/>
            </w:pPr>
            <w:r>
              <w:rPr>
                <w:sz w:val="12"/>
              </w:rPr>
              <w:t>Forbidden once validated/frozen; audited cleanup semantics.</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/api/v1/organizations/{organizationId}/campaigns/{campaignId}/evidence/{evidenceId}/content</w:t>
            </w:r>
          </w:p>
        </w:tc>
        <w:tc>
          <w:tcPr>
            <w:tcW w:type="dxa" w:w="2179"/>
            <w:vAlign w:val="top"/>
          </w:tcPr>
          <w:p>
            <w:pPr>
              <w:spacing w:after="0"/>
            </w:pPr>
            <w:r>
              <w:rPr>
                <w:sz w:val="12"/>
              </w:rPr>
              <w:t>Bearer</w:t>
            </w:r>
          </w:p>
        </w:tc>
        <w:tc>
          <w:tcPr>
            <w:tcW w:type="dxa" w:w="2179"/>
            <w:vAlign w:val="top"/>
          </w:tcPr>
          <w:p>
            <w:pPr>
              <w:spacing w:after="0"/>
            </w:pPr>
            <w:r>
              <w:rPr>
                <w:sz w:val="12"/>
              </w:rPr>
              <w:t>Authorized contextual read</w:t>
            </w:r>
          </w:p>
        </w:tc>
        <w:tc>
          <w:tcPr>
            <w:tcW w:type="dxa" w:w="2179"/>
            <w:vAlign w:val="top"/>
          </w:tcPr>
          <w:p>
            <w:pPr>
              <w:spacing w:after="0"/>
            </w:pPr>
            <w:r>
              <w:rPr>
                <w:sz w:val="12"/>
              </w:rPr>
              <w:t>—</w:t>
            </w:r>
          </w:p>
        </w:tc>
        <w:tc>
          <w:tcPr>
            <w:tcW w:type="dxa" w:w="2179"/>
            <w:vAlign w:val="top"/>
          </w:tcPr>
          <w:p>
            <w:pPr>
              <w:spacing w:after="0"/>
            </w:pPr>
            <w:r>
              <w:rPr>
                <w:sz w:val="12"/>
              </w:rPr>
              <w:t>Binary JPEG</w:t>
            </w:r>
          </w:p>
        </w:tc>
        <w:tc>
          <w:tcPr>
            <w:tcW w:type="dxa" w:w="2179"/>
            <w:vAlign w:val="top"/>
          </w:tcPr>
          <w:p>
            <w:pPr>
              <w:spacing w:after="0"/>
            </w:pPr>
            <w:r>
              <w:rPr>
                <w:sz w:val="12"/>
              </w:rPr>
              <w:t>Authorized signed/streamed content; no public object URL.</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/api/v1/organizations/{organizationId}/campaigns/{campaignId}/close-readiness</w:t>
            </w:r>
          </w:p>
        </w:tc>
        <w:tc>
          <w:tcPr>
            <w:tcW w:type="dxa" w:w="2179"/>
            <w:vAlign w:val="top"/>
          </w:tcPr>
          <w:p>
            <w:pPr>
              <w:spacing w:after="0"/>
            </w:pPr>
            <w:r>
              <w:rPr>
                <w:sz w:val="12"/>
              </w:rPr>
              <w:t>Bearer</w:t>
            </w:r>
          </w:p>
        </w:tc>
        <w:tc>
          <w:tcPr>
            <w:tcW w:type="dxa" w:w="2179"/>
            <w:vAlign w:val="top"/>
          </w:tcPr>
          <w:p>
            <w:pPr>
              <w:spacing w:after="0"/>
            </w:pPr>
            <w:r>
              <w:rPr>
                <w:sz w:val="12"/>
              </w:rPr>
              <w:t>Authorized campaign access</w:t>
            </w:r>
          </w:p>
        </w:tc>
        <w:tc>
          <w:tcPr>
            <w:tcW w:type="dxa" w:w="2179"/>
            <w:vAlign w:val="top"/>
          </w:tcPr>
          <w:p>
            <w:pPr>
              <w:spacing w:after="0"/>
            </w:pPr>
            <w:r>
              <w:rPr>
                <w:sz w:val="12"/>
              </w:rPr>
              <w:t>—</w:t>
            </w:r>
          </w:p>
        </w:tc>
        <w:tc>
          <w:tcPr>
            <w:tcW w:type="dxa" w:w="2179"/>
            <w:vAlign w:val="top"/>
          </w:tcPr>
          <w:p>
            <w:pPr>
              <w:spacing w:after="0"/>
            </w:pPr>
            <w:r>
              <w:rPr>
                <w:sz w:val="12"/>
              </w:rPr>
              <w:t>CloseReadinessResponse</w:t>
            </w:r>
          </w:p>
        </w:tc>
        <w:tc>
          <w:tcPr>
            <w:tcW w:type="dxa" w:w="2179"/>
            <w:vAlign w:val="top"/>
          </w:tcPr>
          <w:p>
            <w:pPr>
              <w:spacing w:after="0"/>
            </w:pPr>
            <w:r>
              <w:rPr>
                <w:sz w:val="12"/>
              </w:rPr>
              <w:t>Advisory read; Close endpoint revalidates atomically.</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/api/v1/organizations/{organizationId}/campaigns/{campaignId}:close</w:t>
            </w:r>
          </w:p>
        </w:tc>
        <w:tc>
          <w:tcPr>
            <w:tcW w:type="dxa" w:w="2179"/>
            <w:vAlign w:val="top"/>
          </w:tcPr>
          <w:p>
            <w:pPr>
              <w:spacing w:after="0"/>
            </w:pPr>
            <w:r>
              <w:rPr>
                <w:sz w:val="12"/>
              </w:rPr>
              <w:t>Bearer</w:t>
            </w:r>
          </w:p>
        </w:tc>
        <w:tc>
          <w:tcPr>
            <w:tcW w:type="dxa" w:w="2179"/>
            <w:vAlign w:val="top"/>
          </w:tcPr>
          <w:p>
            <w:pPr>
              <w:spacing w:after="0"/>
            </w:pPr>
            <w:r>
              <w:rPr>
                <w:sz w:val="12"/>
              </w:rPr>
              <w:t>Admin; online</w:t>
            </w:r>
          </w:p>
        </w:tc>
        <w:tc>
          <w:tcPr>
            <w:tcW w:type="dxa" w:w="2179"/>
            <w:vAlign w:val="top"/>
          </w:tcPr>
          <w:p>
            <w:pPr>
              <w:spacing w:after="0"/>
            </w:pPr>
            <w:r>
              <w:rPr>
                <w:sz w:val="12"/>
              </w:rPr>
              <w:t>CloseCampaignRequest</w:t>
            </w:r>
          </w:p>
        </w:tc>
        <w:tc>
          <w:tcPr>
            <w:tcW w:type="dxa" w:w="2179"/>
            <w:vAlign w:val="top"/>
          </w:tcPr>
          <w:p>
            <w:pPr>
              <w:spacing w:after="0"/>
            </w:pPr>
            <w:r>
              <w:rPr>
                <w:sz w:val="12"/>
              </w:rPr>
              <w:t>FinalInventorySnapshotResponse</w:t>
            </w:r>
          </w:p>
        </w:tc>
        <w:tc>
          <w:tcPr>
            <w:tcW w:type="dxa" w:w="2179"/>
            <w:vAlign w:val="top"/>
          </w:tcPr>
          <w:p>
            <w:pPr>
              <w:spacing w:after="0"/>
            </w:pPr>
            <w:r>
              <w:rPr>
                <w:sz w:val="12"/>
              </w:rPr>
              <w:t>Atomic guard revalidation + snapshot + COMPLETED.</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/api/v1/organizations/{organizationId}/campaigns/{campaignId}/final-snapshot</w:t>
            </w:r>
          </w:p>
        </w:tc>
        <w:tc>
          <w:tcPr>
            <w:tcW w:type="dxa" w:w="2179"/>
            <w:vAlign w:val="top"/>
          </w:tcPr>
          <w:p>
            <w:pPr>
              <w:spacing w:after="0"/>
            </w:pPr>
            <w:r>
              <w:rPr>
                <w:sz w:val="12"/>
              </w:rPr>
              <w:t>Bearer</w:t>
            </w:r>
          </w:p>
        </w:tc>
        <w:tc>
          <w:tcPr>
            <w:tcW w:type="dxa" w:w="2179"/>
            <w:vAlign w:val="top"/>
          </w:tcPr>
          <w:p>
            <w:pPr>
              <w:spacing w:after="0"/>
            </w:pPr>
            <w:r>
              <w:rPr>
                <w:sz w:val="12"/>
              </w:rPr>
              <w:t>Authorized scope</w:t>
            </w:r>
          </w:p>
        </w:tc>
        <w:tc>
          <w:tcPr>
            <w:tcW w:type="dxa" w:w="2179"/>
            <w:vAlign w:val="top"/>
          </w:tcPr>
          <w:p>
            <w:pPr>
              <w:spacing w:after="0"/>
            </w:pPr>
            <w:r>
              <w:rPr>
                <w:sz w:val="12"/>
              </w:rPr>
              <w:t>—</w:t>
            </w:r>
          </w:p>
        </w:tc>
        <w:tc>
          <w:tcPr>
            <w:tcW w:type="dxa" w:w="2179"/>
            <w:vAlign w:val="top"/>
          </w:tcPr>
          <w:p>
            <w:pPr>
              <w:spacing w:after="0"/>
            </w:pPr>
            <w:r>
              <w:rPr>
                <w:sz w:val="12"/>
              </w:rPr>
              <w:t>FinalInventorySnapshotResponse</w:t>
            </w:r>
          </w:p>
        </w:tc>
        <w:tc>
          <w:tcPr>
            <w:tcW w:type="dxa" w:w="2179"/>
            <w:vAlign w:val="top"/>
          </w:tcPr>
          <w:p>
            <w:pPr>
              <w:spacing w:after="0"/>
            </w:pPr>
            <w:r>
              <w:rPr>
                <w:sz w:val="12"/>
              </w:rPr>
              <w:t>Completed immutable historical source.</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/api/v1/organizations/{organizationId}/reports</w:t>
            </w:r>
          </w:p>
        </w:tc>
        <w:tc>
          <w:tcPr>
            <w:tcW w:type="dxa" w:w="2179"/>
            <w:vAlign w:val="top"/>
          </w:tcPr>
          <w:p>
            <w:pPr>
              <w:spacing w:after="0"/>
            </w:pPr>
            <w:r>
              <w:rPr>
                <w:sz w:val="12"/>
              </w:rPr>
              <w:t>Bearer</w:t>
            </w:r>
          </w:p>
        </w:tc>
        <w:tc>
          <w:tcPr>
            <w:tcW w:type="dxa" w:w="2179"/>
            <w:vAlign w:val="top"/>
          </w:tcPr>
          <w:p>
            <w:pPr>
              <w:spacing w:after="0"/>
            </w:pPr>
            <w:r>
              <w:rPr>
                <w:sz w:val="12"/>
              </w:rPr>
              <w:t>Authorized scope</w:t>
            </w:r>
          </w:p>
        </w:tc>
        <w:tc>
          <w:tcPr>
            <w:tcW w:type="dxa" w:w="2179"/>
            <w:vAlign w:val="top"/>
          </w:tcPr>
          <w:p>
            <w:pPr>
              <w:spacing w:after="0"/>
            </w:pPr>
            <w:r>
              <w:rPr>
                <w:sz w:val="12"/>
              </w:rPr>
              <w:t>ReportCatalogQuery</w:t>
            </w:r>
          </w:p>
        </w:tc>
        <w:tc>
          <w:tcPr>
            <w:tcW w:type="dxa" w:w="2179"/>
            <w:vAlign w:val="top"/>
          </w:tcPr>
          <w:p>
            <w:pPr>
              <w:spacing w:after="0"/>
            </w:pPr>
            <w:r>
              <w:rPr>
                <w:sz w:val="12"/>
              </w:rPr>
              <w:t>ReportCatalogResponse</w:t>
            </w:r>
          </w:p>
        </w:tc>
        <w:tc>
          <w:tcPr>
            <w:tcW w:type="dxa" w:w="2179"/>
            <w:vAlign w:val="top"/>
          </w:tcPr>
          <w:p>
            <w:pPr>
              <w:spacing w:after="0"/>
            </w:pPr>
            <w:r>
              <w:rPr>
                <w:sz w:val="12"/>
              </w:rPr>
              <w:t>Exactly nine canonical report types; Audit Trail Admin-only.</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/api/v1/organizations/{organizationId}/reports/{reportType}:dataset</w:t>
            </w:r>
          </w:p>
        </w:tc>
        <w:tc>
          <w:tcPr>
            <w:tcW w:type="dxa" w:w="2179"/>
            <w:vAlign w:val="top"/>
          </w:tcPr>
          <w:p>
            <w:pPr>
              <w:spacing w:after="0"/>
            </w:pPr>
            <w:r>
              <w:rPr>
                <w:sz w:val="12"/>
              </w:rPr>
              <w:t>Bearer</w:t>
            </w:r>
          </w:p>
        </w:tc>
        <w:tc>
          <w:tcPr>
            <w:tcW w:type="dxa" w:w="2179"/>
            <w:vAlign w:val="top"/>
          </w:tcPr>
          <w:p>
            <w:pPr>
              <w:spacing w:after="0"/>
            </w:pPr>
            <w:r>
              <w:rPr>
                <w:sz w:val="12"/>
              </w:rPr>
              <w:t>Authorized; Audit Admin</w:t>
            </w:r>
          </w:p>
        </w:tc>
        <w:tc>
          <w:tcPr>
            <w:tcW w:type="dxa" w:w="2179"/>
            <w:vAlign w:val="top"/>
          </w:tcPr>
          <w:p>
            <w:pPr>
              <w:spacing w:after="0"/>
            </w:pPr>
            <w:r>
              <w:rPr>
                <w:sz w:val="12"/>
              </w:rPr>
              <w:t>ReportDatasetRequest</w:t>
            </w:r>
          </w:p>
        </w:tc>
        <w:tc>
          <w:tcPr>
            <w:tcW w:type="dxa" w:w="2179"/>
            <w:vAlign w:val="top"/>
          </w:tcPr>
          <w:p>
            <w:pPr>
              <w:spacing w:after="0"/>
            </w:pPr>
            <w:r>
              <w:rPr>
                <w:sz w:val="12"/>
              </w:rPr>
              <w:t>ReportDatasetResponse</w:t>
            </w:r>
          </w:p>
        </w:tc>
        <w:tc>
          <w:tcPr>
            <w:tcW w:type="dxa" w:w="2179"/>
            <w:vAlign w:val="top"/>
          </w:tcPr>
          <w:p>
            <w:pPr>
              <w:spacing w:after="0"/>
            </w:pPr>
            <w:r>
              <w:rPr>
                <w:sz w:val="12"/>
              </w:rPr>
              <w:t>Single Authoritative Report Dataset.</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/api/v1/organizations/{organizationId}/reports/{reportType}:export</w:t>
            </w:r>
          </w:p>
        </w:tc>
        <w:tc>
          <w:tcPr>
            <w:tcW w:type="dxa" w:w="2179"/>
            <w:vAlign w:val="top"/>
          </w:tcPr>
          <w:p>
            <w:pPr>
              <w:spacing w:after="0"/>
            </w:pPr>
            <w:r>
              <w:rPr>
                <w:sz w:val="12"/>
              </w:rPr>
              <w:t>Bearer</w:t>
            </w:r>
          </w:p>
        </w:tc>
        <w:tc>
          <w:tcPr>
            <w:tcW w:type="dxa" w:w="2179"/>
            <w:vAlign w:val="top"/>
          </w:tcPr>
          <w:p>
            <w:pPr>
              <w:spacing w:after="0"/>
            </w:pPr>
            <w:r>
              <w:rPr>
                <w:sz w:val="12"/>
              </w:rPr>
              <w:t>Authorized; Audit Admin</w:t>
            </w:r>
          </w:p>
        </w:tc>
        <w:tc>
          <w:tcPr>
            <w:tcW w:type="dxa" w:w="2179"/>
            <w:vAlign w:val="top"/>
          </w:tcPr>
          <w:p>
            <w:pPr>
              <w:spacing w:after="0"/>
            </w:pPr>
            <w:r>
              <w:rPr>
                <w:sz w:val="12"/>
              </w:rPr>
              <w:t>ReportExportRequest</w:t>
            </w:r>
          </w:p>
        </w:tc>
        <w:tc>
          <w:tcPr>
            <w:tcW w:type="dxa" w:w="2179"/>
            <w:vAlign w:val="top"/>
          </w:tcPr>
          <w:p>
            <w:pPr>
              <w:spacing w:after="0"/>
            </w:pPr>
            <w:r>
              <w:rPr>
                <w:sz w:val="12"/>
              </w:rPr>
              <w:t>Binary PDF/CSV</w:t>
            </w:r>
          </w:p>
        </w:tc>
        <w:tc>
          <w:tcPr>
            <w:tcW w:type="dxa" w:w="2179"/>
            <w:vAlign w:val="top"/>
          </w:tcPr>
          <w:p>
            <w:pPr>
              <w:spacing w:after="0"/>
            </w:pPr>
            <w:r>
              <w:rPr>
                <w:sz w:val="12"/>
              </w:rPr>
              <w:t>Export derives from same canonical dataset semantics.</w:t>
            </w:r>
          </w:p>
        </w:tc>
      </w:tr>
      <w:tr>
        <w:tc>
          <w:tcPr>
            <w:tcW w:type="dxa" w:w="2179"/>
            <w:vAlign w:val="top"/>
          </w:tcPr>
          <w:p>
            <w:pPr>
              <w:spacing w:after="0"/>
            </w:pPr>
            <w:r>
              <w:rPr>
                <w:sz w:val="12"/>
              </w:rPr>
              <w:t>POST</w:t>
            </w:r>
          </w:p>
        </w:tc>
        <w:tc>
          <w:tcPr>
            <w:tcW w:type="dxa" w:w="2179"/>
            <w:vAlign w:val="top"/>
          </w:tcPr>
          <w:p>
            <w:pPr>
              <w:spacing w:after="0"/>
            </w:pPr>
            <w:r>
              <w:rPr>
                <w:sz w:val="12"/>
              </w:rPr>
              <w:t>/api/v1/organizations/{organizationId}/inventory-history:compare</w:t>
            </w:r>
          </w:p>
        </w:tc>
        <w:tc>
          <w:tcPr>
            <w:tcW w:type="dxa" w:w="2179"/>
            <w:vAlign w:val="top"/>
          </w:tcPr>
          <w:p>
            <w:pPr>
              <w:spacing w:after="0"/>
            </w:pPr>
            <w:r>
              <w:rPr>
                <w:sz w:val="12"/>
              </w:rPr>
              <w:t>Bearer</w:t>
            </w:r>
          </w:p>
        </w:tc>
        <w:tc>
          <w:tcPr>
            <w:tcW w:type="dxa" w:w="2179"/>
            <w:vAlign w:val="top"/>
          </w:tcPr>
          <w:p>
            <w:pPr>
              <w:spacing w:after="0"/>
            </w:pPr>
            <w:r>
              <w:rPr>
                <w:sz w:val="12"/>
              </w:rPr>
              <w:t>Authorized scope</w:t>
            </w:r>
          </w:p>
        </w:tc>
        <w:tc>
          <w:tcPr>
            <w:tcW w:type="dxa" w:w="2179"/>
            <w:vAlign w:val="top"/>
          </w:tcPr>
          <w:p>
            <w:pPr>
              <w:spacing w:after="0"/>
            </w:pPr>
            <w:r>
              <w:rPr>
                <w:sz w:val="12"/>
              </w:rPr>
              <w:t>InventoryHistoryRequest</w:t>
            </w:r>
          </w:p>
        </w:tc>
        <w:tc>
          <w:tcPr>
            <w:tcW w:type="dxa" w:w="2179"/>
            <w:vAlign w:val="top"/>
          </w:tcPr>
          <w:p>
            <w:pPr>
              <w:spacing w:after="0"/>
            </w:pPr>
            <w:r>
              <w:rPr>
                <w:sz w:val="12"/>
              </w:rPr>
              <w:t>InventoryHistoryResponse</w:t>
            </w:r>
          </w:p>
        </w:tc>
        <w:tc>
          <w:tcPr>
            <w:tcW w:type="dxa" w:w="2179"/>
            <w:vAlign w:val="top"/>
          </w:tcPr>
          <w:p>
            <w:pPr>
              <w:spacing w:after="0"/>
            </w:pPr>
            <w:r>
              <w:rPr>
                <w:sz w:val="12"/>
              </w:rPr>
              <w:t>2..N completed snapshots; comparability classifications.</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/api/v1/organizations/{organizationId}/campaigns/{campaignId}/dossier</w:t>
            </w:r>
          </w:p>
        </w:tc>
        <w:tc>
          <w:tcPr>
            <w:tcW w:type="dxa" w:w="2179"/>
            <w:vAlign w:val="top"/>
          </w:tcPr>
          <w:p>
            <w:pPr>
              <w:spacing w:after="0"/>
            </w:pPr>
            <w:r>
              <w:rPr>
                <w:sz w:val="12"/>
              </w:rPr>
              <w:t>Bearer</w:t>
            </w:r>
          </w:p>
        </w:tc>
        <w:tc>
          <w:tcPr>
            <w:tcW w:type="dxa" w:w="2179"/>
            <w:vAlign w:val="top"/>
          </w:tcPr>
          <w:p>
            <w:pPr>
              <w:spacing w:after="0"/>
            </w:pPr>
            <w:r>
              <w:rPr>
                <w:sz w:val="12"/>
              </w:rPr>
              <w:t>Authorized scope</w:t>
            </w:r>
          </w:p>
        </w:tc>
        <w:tc>
          <w:tcPr>
            <w:tcW w:type="dxa" w:w="2179"/>
            <w:vAlign w:val="top"/>
          </w:tcPr>
          <w:p>
            <w:pPr>
              <w:spacing w:after="0"/>
            </w:pPr>
            <w:r>
              <w:rPr>
                <w:sz w:val="12"/>
              </w:rPr>
              <w:t>—</w:t>
            </w:r>
          </w:p>
        </w:tc>
        <w:tc>
          <w:tcPr>
            <w:tcW w:type="dxa" w:w="2179"/>
            <w:vAlign w:val="top"/>
          </w:tcPr>
          <w:p>
            <w:pPr>
              <w:spacing w:after="0"/>
            </w:pPr>
            <w:r>
              <w:rPr>
                <w:sz w:val="12"/>
              </w:rPr>
              <w:t>DossierResponse</w:t>
            </w:r>
          </w:p>
        </w:tc>
        <w:tc>
          <w:tcPr>
            <w:tcW w:type="dxa" w:w="2179"/>
            <w:vAlign w:val="top"/>
          </w:tcPr>
          <w:p>
            <w:pPr>
              <w:spacing w:after="0"/>
            </w:pPr>
            <w:r>
              <w:rPr>
                <w:sz w:val="12"/>
              </w:rPr>
              <w:t>Completed snapshot/evidence/audit/context dossier.</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/api/v1/organizations/{organizationId}/audit-events</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CursorQuery + filters</w:t>
            </w:r>
          </w:p>
        </w:tc>
        <w:tc>
          <w:tcPr>
            <w:tcW w:type="dxa" w:w="2179"/>
            <w:vAlign w:val="top"/>
          </w:tcPr>
          <w:p>
            <w:pPr>
              <w:spacing w:after="0"/>
            </w:pPr>
            <w:r>
              <w:rPr>
                <w:sz w:val="12"/>
              </w:rPr>
              <w:t>Page&lt;AuditEventResponse&gt;</w:t>
            </w:r>
          </w:p>
        </w:tc>
        <w:tc>
          <w:tcPr>
            <w:tcW w:type="dxa" w:w="2179"/>
            <w:vAlign w:val="top"/>
          </w:tcPr>
          <w:p>
            <w:pPr>
              <w:spacing w:after="0"/>
            </w:pPr>
            <w:r>
              <w:rPr>
                <w:sz w:val="12"/>
              </w:rPr>
              <w:t>Append-only authoritative audit read.</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/api/v1/organizations/{organizationId}/users</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CursorQuery + search/status/role</w:t>
            </w:r>
          </w:p>
        </w:tc>
        <w:tc>
          <w:tcPr>
            <w:tcW w:type="dxa" w:w="2179"/>
            <w:vAlign w:val="top"/>
          </w:tcPr>
          <w:p>
            <w:pPr>
              <w:spacing w:after="0"/>
            </w:pPr>
            <w:r>
              <w:rPr>
                <w:sz w:val="12"/>
              </w:rPr>
              <w:t>Page&lt;UserMembershipResponse&gt;</w:t>
            </w:r>
          </w:p>
        </w:tc>
        <w:tc>
          <w:tcPr>
            <w:tcW w:type="dxa" w:w="2179"/>
            <w:vAlign w:val="top"/>
          </w:tcPr>
          <w:p>
            <w:pPr>
              <w:spacing w:after="0"/>
            </w:pPr>
            <w:r>
              <w:rPr>
                <w:sz w:val="12"/>
              </w:rPr>
              <w:t>Organization administration.</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/api/v1/organizations/{organizationId}/users/{userId}</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w:t>
            </w:r>
          </w:p>
        </w:tc>
        <w:tc>
          <w:tcPr>
            <w:tcW w:type="dxa" w:w="2179"/>
            <w:vAlign w:val="top"/>
          </w:tcPr>
          <w:p>
            <w:pPr>
              <w:spacing w:after="0"/>
            </w:pPr>
            <w:r>
              <w:rPr>
                <w:sz w:val="12"/>
              </w:rPr>
              <w:t>UserMembershipResponse</w:t>
            </w:r>
          </w:p>
        </w:tc>
        <w:tc>
          <w:tcPr>
            <w:tcW w:type="dxa" w:w="2179"/>
            <w:vAlign w:val="top"/>
          </w:tcPr>
          <w:p>
            <w:pPr>
              <w:spacing w:after="0"/>
            </w:pPr>
            <w:r>
              <w:rPr>
                <w:sz w:val="12"/>
              </w:rPr>
              <w:t>Historical identity retained.</w:t>
            </w:r>
          </w:p>
        </w:tc>
      </w:tr>
      <w:tr>
        <w:tc>
          <w:tcPr>
            <w:tcW w:type="dxa" w:w="2179"/>
            <w:vAlign w:val="top"/>
          </w:tcPr>
          <w:p>
            <w:pPr>
              <w:spacing w:after="0"/>
            </w:pPr>
            <w:r>
              <w:rPr>
                <w:sz w:val="12"/>
              </w:rPr>
              <w:t>PATCH</w:t>
            </w:r>
          </w:p>
        </w:tc>
        <w:tc>
          <w:tcPr>
            <w:tcW w:type="dxa" w:w="2179"/>
            <w:vAlign w:val="top"/>
          </w:tcPr>
          <w:p>
            <w:pPr>
              <w:spacing w:after="0"/>
            </w:pPr>
            <w:r>
              <w:rPr>
                <w:sz w:val="12"/>
              </w:rPr>
              <w:t>/api/v1/organizations/{organizationId}/memberships/{membershipId}</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MembershipPatchRequest</w:t>
            </w:r>
          </w:p>
        </w:tc>
        <w:tc>
          <w:tcPr>
            <w:tcW w:type="dxa" w:w="2179"/>
            <w:vAlign w:val="top"/>
          </w:tcPr>
          <w:p>
            <w:pPr>
              <w:spacing w:after="0"/>
            </w:pPr>
            <w:r>
              <w:rPr>
                <w:sz w:val="12"/>
              </w:rPr>
              <w:t>MembershipResponse</w:t>
            </w:r>
          </w:p>
        </w:tc>
        <w:tc>
          <w:tcPr>
            <w:tcW w:type="dxa" w:w="2179"/>
            <w:vAlign w:val="top"/>
          </w:tcPr>
          <w:p>
            <w:pPr>
              <w:spacing w:after="0"/>
            </w:pPr>
            <w:r>
              <w:rPr>
                <w:sz w:val="12"/>
              </w:rPr>
              <w:t>Role/lifecycle; cannot remove last active Admin.</w:t>
            </w:r>
          </w:p>
        </w:tc>
      </w:tr>
      <w:tr>
        <w:tc>
          <w:tcPr>
            <w:tcW w:type="dxa" w:w="2179"/>
            <w:vAlign w:val="top"/>
          </w:tcPr>
          <w:p>
            <w:pPr>
              <w:spacing w:after="0"/>
            </w:pPr>
            <w:r>
              <w:rPr>
                <w:sz w:val="12"/>
              </w:rPr>
              <w:t>GET</w:t>
            </w:r>
          </w:p>
        </w:tc>
        <w:tc>
          <w:tcPr>
            <w:tcW w:type="dxa" w:w="2179"/>
            <w:vAlign w:val="top"/>
          </w:tcPr>
          <w:p>
            <w:pPr>
              <w:spacing w:after="0"/>
            </w:pPr>
            <w:r>
              <w:rPr>
                <w:sz w:val="12"/>
              </w:rPr>
              <w:t>/api/v1/notifications</w:t>
            </w:r>
          </w:p>
        </w:tc>
        <w:tc>
          <w:tcPr>
            <w:tcW w:type="dxa" w:w="2179"/>
            <w:vAlign w:val="top"/>
          </w:tcPr>
          <w:p>
            <w:pPr>
              <w:spacing w:after="0"/>
            </w:pPr>
            <w:r>
              <w:rPr>
                <w:sz w:val="12"/>
              </w:rPr>
              <w:t>Bearer</w:t>
            </w:r>
          </w:p>
        </w:tc>
        <w:tc>
          <w:tcPr>
            <w:tcW w:type="dxa" w:w="2179"/>
            <w:vAlign w:val="top"/>
          </w:tcPr>
          <w:p>
            <w:pPr>
              <w:spacing w:after="0"/>
            </w:pPr>
            <w:r>
              <w:rPr>
                <w:sz w:val="12"/>
              </w:rPr>
              <w:t>Authenticated</w:t>
            </w:r>
          </w:p>
        </w:tc>
        <w:tc>
          <w:tcPr>
            <w:tcW w:type="dxa" w:w="2179"/>
            <w:vAlign w:val="top"/>
          </w:tcPr>
          <w:p>
            <w:pPr>
              <w:spacing w:after="0"/>
            </w:pPr>
            <w:r>
              <w:rPr>
                <w:sz w:val="12"/>
              </w:rPr>
              <w:t>CursorQuery + readState</w:t>
            </w:r>
          </w:p>
        </w:tc>
        <w:tc>
          <w:tcPr>
            <w:tcW w:type="dxa" w:w="2179"/>
            <w:vAlign w:val="top"/>
          </w:tcPr>
          <w:p>
            <w:pPr>
              <w:spacing w:after="0"/>
            </w:pPr>
            <w:r>
              <w:rPr>
                <w:sz w:val="12"/>
              </w:rPr>
              <w:t>Page&lt;NotificationResponse&gt;</w:t>
            </w:r>
          </w:p>
        </w:tc>
        <w:tc>
          <w:tcPr>
            <w:tcW w:type="dxa" w:w="2179"/>
            <w:vAlign w:val="top"/>
          </w:tcPr>
          <w:p>
            <w:pPr>
              <w:spacing w:after="0"/>
            </w:pPr>
            <w:r>
              <w:rPr>
                <w:sz w:val="12"/>
              </w:rPr>
              <w:t>Own notifications.</w:t>
            </w:r>
          </w:p>
        </w:tc>
      </w:tr>
      <w:tr>
        <w:tc>
          <w:tcPr>
            <w:tcW w:type="dxa" w:w="2179"/>
            <w:vAlign w:val="top"/>
          </w:tcPr>
          <w:p>
            <w:pPr>
              <w:spacing w:after="0"/>
            </w:pPr>
            <w:r>
              <w:rPr>
                <w:sz w:val="12"/>
              </w:rPr>
              <w:t>POST</w:t>
            </w:r>
          </w:p>
        </w:tc>
        <w:tc>
          <w:tcPr>
            <w:tcW w:type="dxa" w:w="2179"/>
            <w:vAlign w:val="top"/>
          </w:tcPr>
          <w:p>
            <w:pPr>
              <w:spacing w:after="0"/>
            </w:pPr>
            <w:r>
              <w:rPr>
                <w:sz w:val="12"/>
              </w:rPr>
              <w:t>/api/v1/notifications/{notificationId}:mark-read</w:t>
            </w:r>
          </w:p>
        </w:tc>
        <w:tc>
          <w:tcPr>
            <w:tcW w:type="dxa" w:w="2179"/>
            <w:vAlign w:val="top"/>
          </w:tcPr>
          <w:p>
            <w:pPr>
              <w:spacing w:after="0"/>
            </w:pPr>
            <w:r>
              <w:rPr>
                <w:sz w:val="12"/>
              </w:rPr>
              <w:t>Bearer</w:t>
            </w:r>
          </w:p>
        </w:tc>
        <w:tc>
          <w:tcPr>
            <w:tcW w:type="dxa" w:w="2179"/>
            <w:vAlign w:val="top"/>
          </w:tcPr>
          <w:p>
            <w:pPr>
              <w:spacing w:after="0"/>
            </w:pPr>
            <w:r>
              <w:rPr>
                <w:sz w:val="12"/>
              </w:rPr>
              <w:t>Recipient</w:t>
            </w:r>
          </w:p>
        </w:tc>
        <w:tc>
          <w:tcPr>
            <w:tcW w:type="dxa" w:w="2179"/>
            <w:vAlign w:val="top"/>
          </w:tcPr>
          <w:p>
            <w:pPr>
              <w:spacing w:after="0"/>
            </w:pPr>
            <w:r>
              <w:rPr>
                <w:sz w:val="12"/>
              </w:rPr>
              <w:t>MutationControl</w:t>
            </w:r>
          </w:p>
        </w:tc>
        <w:tc>
          <w:tcPr>
            <w:tcW w:type="dxa" w:w="2179"/>
            <w:vAlign w:val="top"/>
          </w:tcPr>
          <w:p>
            <w:pPr>
              <w:spacing w:after="0"/>
            </w:pPr>
            <w:r>
              <w:rPr>
                <w:sz w:val="12"/>
              </w:rPr>
              <w:t>NotificationResponse</w:t>
            </w:r>
          </w:p>
        </w:tc>
        <w:tc>
          <w:tcPr>
            <w:tcW w:type="dxa" w:w="2179"/>
            <w:vAlign w:val="top"/>
          </w:tcPr>
          <w:p>
            <w:pPr>
              <w:spacing w:after="0"/>
            </w:pPr>
            <w:r>
              <w:rPr>
                <w:sz w:val="12"/>
              </w:rPr>
              <w:t>Notification only, not audit.</w:t>
            </w:r>
          </w:p>
        </w:tc>
      </w:tr>
      <w:tr>
        <w:tc>
          <w:tcPr>
            <w:tcW w:type="dxa" w:w="2179"/>
            <w:vAlign w:val="top"/>
          </w:tcPr>
          <w:p>
            <w:pPr>
              <w:spacing w:after="0"/>
            </w:pPr>
            <w:r>
              <w:rPr>
                <w:sz w:val="12"/>
              </w:rPr>
              <w:t>POST</w:t>
            </w:r>
          </w:p>
        </w:tc>
        <w:tc>
          <w:tcPr>
            <w:tcW w:type="dxa" w:w="2179"/>
            <w:vAlign w:val="top"/>
          </w:tcPr>
          <w:p>
            <w:pPr>
              <w:spacing w:after="0"/>
            </w:pPr>
            <w:r>
              <w:rPr>
                <w:sz w:val="12"/>
              </w:rPr>
              <w:t>/api/v1/notifications:mark-all-read</w:t>
            </w:r>
          </w:p>
        </w:tc>
        <w:tc>
          <w:tcPr>
            <w:tcW w:type="dxa" w:w="2179"/>
            <w:vAlign w:val="top"/>
          </w:tcPr>
          <w:p>
            <w:pPr>
              <w:spacing w:after="0"/>
            </w:pPr>
            <w:r>
              <w:rPr>
                <w:sz w:val="12"/>
              </w:rPr>
              <w:t>Bearer</w:t>
            </w:r>
          </w:p>
        </w:tc>
        <w:tc>
          <w:tcPr>
            <w:tcW w:type="dxa" w:w="2179"/>
            <w:vAlign w:val="top"/>
          </w:tcPr>
          <w:p>
            <w:pPr>
              <w:spacing w:after="0"/>
            </w:pPr>
            <w:r>
              <w:rPr>
                <w:sz w:val="12"/>
              </w:rPr>
              <w:t>Authenticated</w:t>
            </w:r>
          </w:p>
        </w:tc>
        <w:tc>
          <w:tcPr>
            <w:tcW w:type="dxa" w:w="2179"/>
            <w:vAlign w:val="top"/>
          </w:tcPr>
          <w:p>
            <w:pPr>
              <w:spacing w:after="0"/>
            </w:pPr>
            <w:r>
              <w:rPr>
                <w:sz w:val="12"/>
              </w:rPr>
              <w:t>MutationControl</w:t>
            </w:r>
          </w:p>
        </w:tc>
        <w:tc>
          <w:tcPr>
            <w:tcW w:type="dxa" w:w="2179"/>
            <w:vAlign w:val="top"/>
          </w:tcPr>
          <w:p>
            <w:pPr>
              <w:spacing w:after="0"/>
            </w:pPr>
            <w:r>
              <w:rPr>
                <w:sz w:val="12"/>
              </w:rPr>
              <w:t>AcceptedResponse</w:t>
            </w:r>
          </w:p>
        </w:tc>
        <w:tc>
          <w:tcPr>
            <w:tcW w:type="dxa" w:w="2179"/>
            <w:vAlign w:val="top"/>
          </w:tcPr>
          <w:p>
            <w:pPr>
              <w:spacing w:after="0"/>
            </w:pPr>
            <w:r>
              <w:rPr>
                <w:sz w:val="12"/>
              </w:rPr>
              <w:t>Own notifications.</w:t>
            </w:r>
          </w:p>
        </w:tc>
      </w:tr>
      <w:tr>
        <w:tc>
          <w:tcPr>
            <w:tcW w:type="dxa" w:w="2179"/>
            <w:vAlign w:val="top"/>
          </w:tcPr>
          <w:p>
            <w:pPr>
              <w:spacing w:after="0"/>
            </w:pPr>
            <w:r>
              <w:rPr>
                <w:sz w:val="12"/>
              </w:rPr>
              <w:t>GET</w:t>
            </w:r>
          </w:p>
        </w:tc>
        <w:tc>
          <w:tcPr>
            <w:tcW w:type="dxa" w:w="2179"/>
            <w:vAlign w:val="top"/>
          </w:tcPr>
          <w:p>
            <w:pPr>
              <w:spacing w:after="0"/>
            </w:pPr>
            <w:r>
              <w:rPr>
                <w:sz w:val="12"/>
              </w:rPr>
              <w:t>/api/v1/preferences</w:t>
            </w:r>
          </w:p>
        </w:tc>
        <w:tc>
          <w:tcPr>
            <w:tcW w:type="dxa" w:w="2179"/>
            <w:vAlign w:val="top"/>
          </w:tcPr>
          <w:p>
            <w:pPr>
              <w:spacing w:after="0"/>
            </w:pPr>
            <w:r>
              <w:rPr>
                <w:sz w:val="12"/>
              </w:rPr>
              <w:t>Bearer</w:t>
            </w:r>
          </w:p>
        </w:tc>
        <w:tc>
          <w:tcPr>
            <w:tcW w:type="dxa" w:w="2179"/>
            <w:vAlign w:val="top"/>
          </w:tcPr>
          <w:p>
            <w:pPr>
              <w:spacing w:after="0"/>
            </w:pPr>
            <w:r>
              <w:rPr>
                <w:sz w:val="12"/>
              </w:rPr>
              <w:t>Authenticated</w:t>
            </w:r>
          </w:p>
        </w:tc>
        <w:tc>
          <w:tcPr>
            <w:tcW w:type="dxa" w:w="2179"/>
            <w:vAlign w:val="top"/>
          </w:tcPr>
          <w:p>
            <w:pPr>
              <w:spacing w:after="0"/>
            </w:pPr>
            <w:r>
              <w:rPr>
                <w:sz w:val="12"/>
              </w:rPr>
              <w:t>—</w:t>
            </w:r>
          </w:p>
        </w:tc>
        <w:tc>
          <w:tcPr>
            <w:tcW w:type="dxa" w:w="2179"/>
            <w:vAlign w:val="top"/>
          </w:tcPr>
          <w:p>
            <w:pPr>
              <w:spacing w:after="0"/>
            </w:pPr>
            <w:r>
              <w:rPr>
                <w:sz w:val="12"/>
              </w:rPr>
              <w:t>UserPreferenceResponse</w:t>
            </w:r>
          </w:p>
        </w:tc>
        <w:tc>
          <w:tcPr>
            <w:tcW w:type="dxa" w:w="2179"/>
            <w:vAlign w:val="top"/>
          </w:tcPr>
          <w:p>
            <w:pPr>
              <w:spacing w:after="0"/>
            </w:pPr>
            <w:r>
              <w:rPr>
                <w:sz w:val="12"/>
              </w:rPr>
              <w:t>Synchronized approved preferences.</w:t>
            </w:r>
          </w:p>
        </w:tc>
      </w:tr>
      <w:tr>
        <w:tc>
          <w:tcPr>
            <w:tcW w:type="dxa" w:w="2179"/>
            <w:vAlign w:val="top"/>
          </w:tcPr>
          <w:p>
            <w:pPr>
              <w:spacing w:after="0"/>
            </w:pPr>
            <w:r>
              <w:rPr>
                <w:sz w:val="12"/>
              </w:rPr>
              <w:t>PATCH</w:t>
            </w:r>
          </w:p>
        </w:tc>
        <w:tc>
          <w:tcPr>
            <w:tcW w:type="dxa" w:w="2179"/>
            <w:vAlign w:val="top"/>
          </w:tcPr>
          <w:p>
            <w:pPr>
              <w:spacing w:after="0"/>
            </w:pPr>
            <w:r>
              <w:rPr>
                <w:sz w:val="12"/>
              </w:rPr>
              <w:t>/api/v1/preferences</w:t>
            </w:r>
          </w:p>
        </w:tc>
        <w:tc>
          <w:tcPr>
            <w:tcW w:type="dxa" w:w="2179"/>
            <w:vAlign w:val="top"/>
          </w:tcPr>
          <w:p>
            <w:pPr>
              <w:spacing w:after="0"/>
            </w:pPr>
            <w:r>
              <w:rPr>
                <w:sz w:val="12"/>
              </w:rPr>
              <w:t>Bearer</w:t>
            </w:r>
          </w:p>
        </w:tc>
        <w:tc>
          <w:tcPr>
            <w:tcW w:type="dxa" w:w="2179"/>
            <w:vAlign w:val="top"/>
          </w:tcPr>
          <w:p>
            <w:pPr>
              <w:spacing w:after="0"/>
            </w:pPr>
            <w:r>
              <w:rPr>
                <w:sz w:val="12"/>
              </w:rPr>
              <w:t>Authenticated</w:t>
            </w:r>
          </w:p>
        </w:tc>
        <w:tc>
          <w:tcPr>
            <w:tcW w:type="dxa" w:w="2179"/>
            <w:vAlign w:val="top"/>
          </w:tcPr>
          <w:p>
            <w:pPr>
              <w:spacing w:after="0"/>
            </w:pPr>
            <w:r>
              <w:rPr>
                <w:sz w:val="12"/>
              </w:rPr>
              <w:t>UserPreferencePatchRequest</w:t>
            </w:r>
          </w:p>
        </w:tc>
        <w:tc>
          <w:tcPr>
            <w:tcW w:type="dxa" w:w="2179"/>
            <w:vAlign w:val="top"/>
          </w:tcPr>
          <w:p>
            <w:pPr>
              <w:spacing w:after="0"/>
            </w:pPr>
            <w:r>
              <w:rPr>
                <w:sz w:val="12"/>
              </w:rPr>
              <w:t>UserPreferenceResponse</w:t>
            </w:r>
          </w:p>
        </w:tc>
        <w:tc>
          <w:tcPr>
            <w:tcW w:type="dxa" w:w="2179"/>
            <w:vAlign w:val="top"/>
          </w:tcPr>
          <w:p>
            <w:pPr>
              <w:spacing w:after="0"/>
            </w:pPr>
            <w:r>
              <w:rPr>
                <w:sz w:val="12"/>
              </w:rPr>
              <w:t>Cannot alter system rules.</w:t>
            </w:r>
          </w:p>
        </w:tc>
      </w:tr>
      <w:tr>
        <w:tc>
          <w:tcPr>
            <w:tcW w:type="dxa" w:w="2179"/>
            <w:vAlign w:val="top"/>
          </w:tcPr>
          <w:p>
            <w:pPr>
              <w:spacing w:after="0"/>
            </w:pPr>
            <w:r>
              <w:rPr>
                <w:sz w:val="12"/>
              </w:rPr>
              <w:t>GET</w:t>
            </w:r>
          </w:p>
        </w:tc>
        <w:tc>
          <w:tcPr>
            <w:tcW w:type="dxa" w:w="2179"/>
            <w:vAlign w:val="top"/>
          </w:tcPr>
          <w:p>
            <w:pPr>
              <w:spacing w:after="0"/>
            </w:pPr>
            <w:r>
              <w:rPr>
                <w:sz w:val="12"/>
              </w:rPr>
              <w:t>/api/v1/organizations/{organizationId}/configuration</w:t>
            </w:r>
          </w:p>
        </w:tc>
        <w:tc>
          <w:tcPr>
            <w:tcW w:type="dxa" w:w="2179"/>
            <w:vAlign w:val="top"/>
          </w:tcPr>
          <w:p>
            <w:pPr>
              <w:spacing w:after="0"/>
            </w:pPr>
            <w:r>
              <w:rPr>
                <w:sz w:val="12"/>
              </w:rPr>
              <w:t>Bearer</w:t>
            </w:r>
          </w:p>
        </w:tc>
        <w:tc>
          <w:tcPr>
            <w:tcW w:type="dxa" w:w="2179"/>
            <w:vAlign w:val="top"/>
          </w:tcPr>
          <w:p>
            <w:pPr>
              <w:spacing w:after="0"/>
            </w:pPr>
            <w:r>
              <w:rPr>
                <w:sz w:val="12"/>
              </w:rPr>
              <w:t>Authorized membership</w:t>
            </w:r>
          </w:p>
        </w:tc>
        <w:tc>
          <w:tcPr>
            <w:tcW w:type="dxa" w:w="2179"/>
            <w:vAlign w:val="top"/>
          </w:tcPr>
          <w:p>
            <w:pPr>
              <w:spacing w:after="0"/>
            </w:pPr>
            <w:r>
              <w:rPr>
                <w:sz w:val="12"/>
              </w:rPr>
              <w:t>—</w:t>
            </w:r>
          </w:p>
        </w:tc>
        <w:tc>
          <w:tcPr>
            <w:tcW w:type="dxa" w:w="2179"/>
            <w:vAlign w:val="top"/>
          </w:tcPr>
          <w:p>
            <w:pPr>
              <w:spacing w:after="0"/>
            </w:pPr>
            <w:r>
              <w:rPr>
                <w:sz w:val="12"/>
              </w:rPr>
              <w:t>OrganizationConfigurationResponse</w:t>
            </w:r>
          </w:p>
        </w:tc>
        <w:tc>
          <w:tcPr>
            <w:tcW w:type="dxa" w:w="2179"/>
            <w:vAlign w:val="top"/>
          </w:tcPr>
          <w:p>
            <w:pPr>
              <w:spacing w:after="0"/>
            </w:pPr>
            <w:r>
              <w:rPr>
                <w:sz w:val="12"/>
              </w:rPr>
              <w:t>Standard may read authorized effective config where needed; mutation Admin-only.</w:t>
            </w:r>
          </w:p>
        </w:tc>
      </w:tr>
      <w:tr>
        <w:tc>
          <w:tcPr>
            <w:tcW w:type="dxa" w:w="2179"/>
            <w:vAlign w:val="top"/>
          </w:tcPr>
          <w:p>
            <w:pPr>
              <w:spacing w:after="0"/>
            </w:pPr>
            <w:r>
              <w:rPr>
                <w:sz w:val="12"/>
              </w:rPr>
              <w:t>PATCH</w:t>
            </w:r>
          </w:p>
        </w:tc>
        <w:tc>
          <w:tcPr>
            <w:tcW w:type="dxa" w:w="2179"/>
            <w:vAlign w:val="top"/>
          </w:tcPr>
          <w:p>
            <w:pPr>
              <w:spacing w:after="0"/>
            </w:pPr>
            <w:r>
              <w:rPr>
                <w:sz w:val="12"/>
              </w:rPr>
              <w:t>/api/v1/organizations/{organizationId}/configuration</w:t>
            </w:r>
          </w:p>
        </w:tc>
        <w:tc>
          <w:tcPr>
            <w:tcW w:type="dxa" w:w="2179"/>
            <w:vAlign w:val="top"/>
          </w:tcPr>
          <w:p>
            <w:pPr>
              <w:spacing w:after="0"/>
            </w:pPr>
            <w:r>
              <w:rPr>
                <w:sz w:val="12"/>
              </w:rPr>
              <w:t>Bearer</w:t>
            </w:r>
          </w:p>
        </w:tc>
        <w:tc>
          <w:tcPr>
            <w:tcW w:type="dxa" w:w="2179"/>
            <w:vAlign w:val="top"/>
          </w:tcPr>
          <w:p>
            <w:pPr>
              <w:spacing w:after="0"/>
            </w:pPr>
            <w:r>
              <w:rPr>
                <w:sz w:val="12"/>
              </w:rPr>
              <w:t>Admin</w:t>
            </w:r>
          </w:p>
        </w:tc>
        <w:tc>
          <w:tcPr>
            <w:tcW w:type="dxa" w:w="2179"/>
            <w:vAlign w:val="top"/>
          </w:tcPr>
          <w:p>
            <w:pPr>
              <w:spacing w:after="0"/>
            </w:pPr>
            <w:r>
              <w:rPr>
                <w:sz w:val="12"/>
              </w:rPr>
              <w:t>OrganizationConfigurationPatchRequest</w:t>
            </w:r>
          </w:p>
        </w:tc>
        <w:tc>
          <w:tcPr>
            <w:tcW w:type="dxa" w:w="2179"/>
            <w:vAlign w:val="top"/>
          </w:tcPr>
          <w:p>
            <w:pPr>
              <w:spacing w:after="0"/>
            </w:pPr>
            <w:r>
              <w:rPr>
                <w:sz w:val="12"/>
              </w:rPr>
              <w:t>OrganizationConfigurationResponse</w:t>
            </w:r>
          </w:p>
        </w:tc>
        <w:tc>
          <w:tcPr>
            <w:tcW w:type="dxa" w:w="2179"/>
            <w:vAlign w:val="top"/>
          </w:tcPr>
          <w:p>
            <w:pPr>
              <w:spacing w:after="0"/>
            </w:pPr>
            <w:r>
              <w:rPr>
                <w:sz w:val="12"/>
              </w:rPr>
              <w:t>Approved registry keys/types only.</w:t>
            </w:r>
          </w:p>
        </w:tc>
      </w:tr>
      <w:tr>
        <w:tc>
          <w:tcPr>
            <w:tcW w:type="dxa" w:w="2179"/>
            <w:vAlign w:val="top"/>
          </w:tcPr>
          <w:p>
            <w:pPr>
              <w:spacing w:after="0"/>
            </w:pPr>
            <w:r>
              <w:rPr>
                <w:sz w:val="12"/>
              </w:rPr>
              <w:t>POST</w:t>
            </w:r>
          </w:p>
        </w:tc>
        <w:tc>
          <w:tcPr>
            <w:tcW w:type="dxa" w:w="2179"/>
            <w:vAlign w:val="top"/>
          </w:tcPr>
          <w:p>
            <w:pPr>
              <w:spacing w:after="0"/>
            </w:pPr>
            <w:r>
              <w:rPr>
                <w:sz w:val="12"/>
              </w:rPr>
              <w:t>/api/v1/sync/batch</w:t>
            </w:r>
          </w:p>
        </w:tc>
        <w:tc>
          <w:tcPr>
            <w:tcW w:type="dxa" w:w="2179"/>
            <w:vAlign w:val="top"/>
          </w:tcPr>
          <w:p>
            <w:pPr>
              <w:spacing w:after="0"/>
            </w:pPr>
            <w:r>
              <w:rPr>
                <w:sz w:val="12"/>
              </w:rPr>
              <w:t>Bearer</w:t>
            </w:r>
          </w:p>
        </w:tc>
        <w:tc>
          <w:tcPr>
            <w:tcW w:type="dxa" w:w="2179"/>
            <w:vAlign w:val="top"/>
          </w:tcPr>
          <w:p>
            <w:pPr>
              <w:spacing w:after="0"/>
            </w:pPr>
            <w:r>
              <w:rPr>
                <w:sz w:val="12"/>
              </w:rPr>
              <w:t>Authorized active context</w:t>
            </w:r>
          </w:p>
        </w:tc>
        <w:tc>
          <w:tcPr>
            <w:tcW w:type="dxa" w:w="2179"/>
            <w:vAlign w:val="top"/>
          </w:tcPr>
          <w:p>
            <w:pPr>
              <w:spacing w:after="0"/>
            </w:pPr>
            <w:r>
              <w:rPr>
                <w:sz w:val="12"/>
              </w:rPr>
              <w:t>SyncBatchRequest</w:t>
            </w:r>
          </w:p>
        </w:tc>
        <w:tc>
          <w:tcPr>
            <w:tcW w:type="dxa" w:w="2179"/>
            <w:vAlign w:val="top"/>
          </w:tcPr>
          <w:p>
            <w:pPr>
              <w:spacing w:after="0"/>
            </w:pPr>
            <w:r>
              <w:rPr>
                <w:sz w:val="12"/>
              </w:rPr>
              <w:t>SyncBatchResponse</w:t>
            </w:r>
          </w:p>
        </w:tc>
        <w:tc>
          <w:tcPr>
            <w:tcW w:type="dxa" w:w="2179"/>
            <w:vAlign w:val="top"/>
          </w:tcPr>
          <w:p>
            <w:pPr>
              <w:spacing w:after="0"/>
            </w:pPr>
            <w:r>
              <w:rPr>
                <w:sz w:val="12"/>
              </w:rPr>
              <w:t>Bounded ordered operations; per-op ACK/conflict/error; same idempotency keys.</w:t>
            </w:r>
          </w:p>
        </w:tc>
      </w:tr>
      <w:tr>
        <w:tc>
          <w:tcPr>
            <w:tcW w:type="dxa" w:w="2179"/>
            <w:vAlign w:val="top"/>
          </w:tcPr>
          <w:p>
            <w:pPr>
              <w:spacing w:after="0"/>
            </w:pPr>
            <w:r>
              <w:rPr>
                <w:sz w:val="12"/>
              </w:rPr>
              <w:t>GET</w:t>
            </w:r>
          </w:p>
        </w:tc>
        <w:tc>
          <w:tcPr>
            <w:tcW w:type="dxa" w:w="2179"/>
            <w:vAlign w:val="top"/>
          </w:tcPr>
          <w:p>
            <w:pPr>
              <w:spacing w:after="0"/>
            </w:pPr>
            <w:r>
              <w:rPr>
                <w:sz w:val="12"/>
              </w:rPr>
              <w:t>/api/v1/sync/status</w:t>
            </w:r>
          </w:p>
        </w:tc>
        <w:tc>
          <w:tcPr>
            <w:tcW w:type="dxa" w:w="2179"/>
            <w:vAlign w:val="top"/>
          </w:tcPr>
          <w:p>
            <w:pPr>
              <w:spacing w:after="0"/>
            </w:pPr>
            <w:r>
              <w:rPr>
                <w:sz w:val="12"/>
              </w:rPr>
              <w:t>Bearer</w:t>
            </w:r>
          </w:p>
        </w:tc>
        <w:tc>
          <w:tcPr>
            <w:tcW w:type="dxa" w:w="2179"/>
            <w:vAlign w:val="top"/>
          </w:tcPr>
          <w:p>
            <w:pPr>
              <w:spacing w:after="0"/>
            </w:pPr>
            <w:r>
              <w:rPr>
                <w:sz w:val="12"/>
              </w:rPr>
              <w:t>Authenticated</w:t>
            </w:r>
          </w:p>
        </w:tc>
        <w:tc>
          <w:tcPr>
            <w:tcW w:type="dxa" w:w="2179"/>
            <w:vAlign w:val="top"/>
          </w:tcPr>
          <w:p>
            <w:pPr>
              <w:spacing w:after="0"/>
            </w:pPr>
            <w:r>
              <w:rPr>
                <w:sz w:val="12"/>
              </w:rPr>
              <w:t>organizationId/campaignId?</w:t>
            </w:r>
          </w:p>
        </w:tc>
        <w:tc>
          <w:tcPr>
            <w:tcW w:type="dxa" w:w="2179"/>
            <w:vAlign w:val="top"/>
          </w:tcPr>
          <w:p>
            <w:pPr>
              <w:spacing w:after="0"/>
            </w:pPr>
            <w:r>
              <w:rPr>
                <w:sz w:val="12"/>
              </w:rPr>
              <w:t>SyncServerStatusResponse</w:t>
            </w:r>
          </w:p>
        </w:tc>
        <w:tc>
          <w:tcPr>
            <w:tcW w:type="dxa" w:w="2179"/>
            <w:vAlign w:val="top"/>
          </w:tcPr>
          <w:p>
            <w:pPr>
              <w:spacing w:after="0"/>
            </w:pPr>
            <w:r>
              <w:rPr>
                <w:sz w:val="12"/>
              </w:rPr>
              <w:t>Operational server-side visibility; no force-overwrite controls.</w:t>
            </w:r>
          </w:p>
        </w:tc>
      </w:tr>
      <w:tr>
        <w:tc>
          <w:tcPr>
            <w:tcW w:type="dxa" w:w="2179"/>
            <w:vAlign w:val="top"/>
          </w:tcPr>
          <w:p>
            <w:r>
              <w:t>GET</w:t>
            </w:r>
          </w:p>
        </w:tc>
        <w:tc>
          <w:tcPr>
            <w:tcW w:type="dxa" w:w="2179"/>
            <w:vAlign w:val="top"/>
          </w:tcPr>
          <w:p>
            <w:r>
              <w:t>/api/v1/sync/pull</w:t>
            </w:r>
          </w:p>
        </w:tc>
        <w:tc>
          <w:tcPr>
            <w:tcW w:type="dxa" w:w="2179"/>
            <w:vAlign w:val="top"/>
          </w:tcPr>
          <w:p>
            <w:r>
              <w:t>Bearer</w:t>
            </w:r>
          </w:p>
        </w:tc>
        <w:tc>
          <w:tcPr>
            <w:tcW w:type="dxa" w:w="2179"/>
            <w:vAlign w:val="top"/>
          </w:tcPr>
          <w:p>
            <w:r>
              <w:t>Authorized active context</w:t>
            </w:r>
          </w:p>
        </w:tc>
        <w:tc>
          <w:tcPr>
            <w:tcW w:type="dxa" w:w="2179"/>
            <w:vAlign w:val="top"/>
          </w:tcPr>
          <w:p>
            <w:r>
              <w:t>checkpoint?, limit?</w:t>
            </w:r>
          </w:p>
        </w:tc>
        <w:tc>
          <w:tcPr>
            <w:tcW w:type="dxa" w:w="2179"/>
            <w:vAlign w:val="top"/>
          </w:tcPr>
          <w:p>
            <w:r>
              <w:t>SyncPullResponse</w:t>
            </w:r>
          </w:p>
        </w:tc>
        <w:tc>
          <w:tcPr>
            <w:tcW w:type="dxa" w:w="2179"/>
            <w:vAlign w:val="top"/>
          </w:tcPr>
          <w:p>
            <w:r>
              <w:t>Additive V1 server-to-device change retrieval; opaque checkpoint; default page 200; server controls maximum.</w:t>
            </w:r>
          </w:p>
        </w:tc>
      </w:tr>
    </w:tbl>
    <w:p>
      <w:pPr>
        <w:spacing w:after="20"/>
      </w:pPr>
    </w:p>
    <w:p>
      <w:pPr>
        <w:pStyle w:val="Heading1"/>
      </w:pPr>
      <w:r>
        <w:t>11. Authentication DTOs</w:t>
      </w:r>
    </w:p>
    <w:p>
      <w:pPr>
        <w:pStyle w:val="Heading2"/>
      </w:pPr>
      <w:r>
        <w:t>SignInRequest</w:t>
      </w:r>
    </w:p>
    <w:p>
      <w:pPr>
        <w:spacing w:after="80"/>
      </w:pPr>
      <w:r>
        <w:t>email required; password required. Credentials are never echoed.</w:t>
      </w:r>
    </w:p>
    <w:p>
      <w:pPr>
        <w:pStyle w:val="Heading2"/>
      </w:pPr>
      <w:r>
        <w:t>SessionResponse</w:t>
      </w:r>
    </w:p>
    <w:p>
      <w:pPr>
        <w:spacing w:after="80"/>
      </w:pPr>
      <w:r>
        <w:t>Contains user identity, server session/access credential, refresh/session-restoration material where issued, expiry metadata, and authorized membership summaries needed to enter the app. Credential representation is transport/security infrastructure, not a business-domain identifier.</w:t>
      </w:r>
    </w:p>
    <w:p>
      <w:pPr>
        <w:pStyle w:val="Heading2"/>
      </w:pPr>
      <w:r>
        <w:t>ForgotPasswordRequest / ResetPasswordRequest</w:t>
      </w:r>
    </w:p>
    <w:p>
      <w:pPr>
        <w:spacing w:after="80"/>
      </w:pPr>
      <w:r>
        <w:t>Forgot request contains email. Reset request contains the server-issued recovery context/token plus new password fields required by the server policy. Forgot response must not reveal whether an email exists.</w:t>
      </w:r>
    </w:p>
    <w:p>
      <w:pPr>
        <w:pStyle w:val="Heading1"/>
      </w:pPr>
      <w:r>
        <w:t>12. Organization, membership and User API</w:t>
      </w:r>
    </w:p>
    <w:p>
      <w:pPr>
        <w:pStyle w:val="ListBullet"/>
        <w:spacing w:after="20"/>
      </w:pPr>
      <w:r>
        <w:t>Organization read/write fields follow FC-01 exactly; lifecycle is ACTIVE/INACTIVE.</w:t>
      </w:r>
    </w:p>
    <w:p>
      <w:pPr>
        <w:pStyle w:val="ListBullet"/>
        <w:spacing w:after="20"/>
      </w:pPr>
      <w:r>
        <w:t>User fields follow FC-06: Full Name, Email, role through membership, Active/Disabled lifecycle.</w:t>
      </w:r>
    </w:p>
    <w:p>
      <w:pPr>
        <w:pStyle w:val="ListBullet"/>
        <w:spacing w:after="20"/>
      </w:pPr>
      <w:r>
        <w:t>Membership has its own ACTIVE/DISABLED lifecycle and Admin/Standard role.</w:t>
      </w:r>
    </w:p>
    <w:p>
      <w:pPr>
        <w:pStyle w:val="ListBullet"/>
        <w:spacing w:after="20"/>
      </w:pPr>
      <w:r>
        <w:t>Role changes are audited and versioned. Historical snapshot/audit role meaning is not rewritten.</w:t>
      </w:r>
    </w:p>
    <w:p>
      <w:pPr>
        <w:pStyle w:val="ListBullet"/>
        <w:spacing w:after="20"/>
      </w:pPr>
      <w:r>
        <w:t>Server rejects disabling/demoting the last ACTIVE Admin.</w:t>
      </w:r>
    </w:p>
    <w:p>
      <w:pPr>
        <w:pStyle w:val="ListBullet"/>
        <w:spacing w:after="20"/>
      </w:pPr>
      <w:r>
        <w:t>Organization creation is restricted to platform provisioning/onboarding authority.</w:t>
      </w:r>
    </w:p>
    <w:p>
      <w:pPr>
        <w:pStyle w:val="Heading1"/>
      </w:pPr>
      <w:r>
        <w:t>13. Master-data API</w:t>
      </w:r>
    </w:p>
    <w:p>
      <w:pPr>
        <w:spacing w:after="80"/>
      </w:pPr>
      <w:r>
        <w:t>Location, Storage Unit, Storage Space and Client requests/responses follow FC-02–FC-05, including code normalization/uniqueness, field limits and lifecycle. Admin may mutate; Standard reads authorized data. Inactive historical records remain resolvable but are excluded from new selections where the frozen rules require Active values.</w:t>
      </w:r>
    </w:p>
    <w:p>
      <w:pPr>
        <w:spacing w:after="80"/>
      </w:pPr>
      <w:r>
        <w:t>Storage Space batch creation is Add-only. A batch request declares the intended range/pattern and common approved fields; the server validates all generated codes and returns per-created identities only if the batch contract succeeds according to its atomicity. It must not silently overwrite existing spaces.</w:t>
      </w:r>
    </w:p>
    <w:p>
      <w:pPr>
        <w:pStyle w:val="Heading1"/>
      </w:pPr>
      <w:r>
        <w:t>14. Geometry and Commodity API</w:t>
      </w:r>
    </w:p>
    <w:p>
      <w:pPr>
        <w:pStyle w:val="ListBullet"/>
        <w:spacing w:after="20"/>
      </w:pPr>
      <w:r>
        <w:t>Geometry Families F01–F10 are platform-governed read-only reference resources.</w:t>
      </w:r>
    </w:p>
    <w:p>
      <w:pPr>
        <w:pStyle w:val="ListBullet"/>
        <w:spacing w:after="20"/>
      </w:pPr>
      <w:r>
        <w:t>Geometry Profile is Organization-scoped and Admin-managed. Calculation-affecting edits create a new immutable GeometryProfileVersion; they never rewrite an existing version.</w:t>
      </w:r>
    </w:p>
    <w:p>
      <w:pPr>
        <w:pStyle w:val="ListBullet"/>
        <w:spacing w:after="20"/>
      </w:pPr>
      <w:r>
        <w:t>Geometry Profile responses expose exact current version identity, family, approved parameters, reference datum/provenance and calculated Maximum Capacity.</w:t>
      </w:r>
    </w:p>
    <w:p>
      <w:pPr>
        <w:pStyle w:val="ListBullet"/>
        <w:spacing w:after="20"/>
      </w:pPr>
      <w:r>
        <w:t>Exact F01–F10 parameter schema is versioned and must match the Calculation Engine contract; no client/server invention.</w:t>
      </w:r>
    </w:p>
    <w:p>
      <w:pPr>
        <w:pStyle w:val="ListBullet"/>
        <w:spacing w:after="20"/>
      </w:pPr>
      <w:r>
        <w:t>Commodities are platform-governed; organization users read Commodity/CommodityVersion but cannot create/edit definitions.</w:t>
      </w:r>
    </w:p>
    <w:p>
      <w:pPr>
        <w:pStyle w:val="ListBullet"/>
        <w:spacing w:after="20"/>
      </w:pPr>
      <w:r>
        <w:t>Stocktaking non-empty state pins exact `commodityVersionId` and `geometryProfileVersionId` required for reproducibility.</w:t>
      </w:r>
    </w:p>
    <w:p>
      <w:pPr>
        <w:pStyle w:val="Heading1"/>
      </w:pPr>
      <w:r>
        <w:t>15. Campaign API</w:t>
      </w:r>
    </w:p>
    <w:p>
      <w:pPr>
        <w:pStyle w:val="Heading2"/>
      </w:pPr>
      <w:r>
        <w:t>15.1 Save &amp; Launch</w:t>
      </w:r>
    </w:p>
    <w:p>
      <w:pPr>
        <w:spacing w:after="80"/>
      </w:pPr>
      <w:r>
        <w:t>POST .../campaigns:launch is Admin-only and atomic. Request contains Campaign Name, Inventory Type (ANNUAL|MONTHLY|CONTROL), Start Date, Planned End Date, exact Storage Space scope, and initial Team assignments. Campaign Code is not client-generated. Server validates dates, scope, at least one Team member, authorization and active/selectable dependencies; allocates INV-YYYY-NNNN; creates ACTIVE Campaign, frozen Scope and immutable CampaignSnapshot in one logical transaction.</w:t>
      </w:r>
    </w:p>
    <w:p>
      <w:pPr>
        <w:spacing w:after="80"/>
      </w:pPr>
      <w:r>
        <w:t>Failure creates no partially launched Campaign. There is no Draft endpoint/state.</w:t>
      </w:r>
    </w:p>
    <w:p>
      <w:pPr>
        <w:pStyle w:val="Heading2"/>
      </w:pPr>
      <w:r>
        <w:t>15.2 Scope and Team</w:t>
      </w:r>
    </w:p>
    <w:p>
      <w:pPr>
        <w:spacing w:after="80"/>
      </w:pPr>
      <w:r>
        <w:t>Campaign Scope is read-only after launch. Team is separately mutable by Admin while Campaign is ACTIVE. Add/remove is audited; removed assignment history remains. Launch snapshot preserves launch-time team and is not rewritten by later team changes.</w:t>
      </w:r>
    </w:p>
    <w:p>
      <w:pPr>
        <w:pStyle w:val="Heading1"/>
      </w:pPr>
      <w:r>
        <w:t>16. Offline Working Set API</w:t>
      </w:r>
    </w:p>
    <w:p>
      <w:pPr>
        <w:spacing w:after="80"/>
      </w:pPr>
      <w:r>
        <w:t>Offline package is Campaign×DeviceInstallation scoped. Manifest identifies campaign, organization, device installation, packageVersion, required content counts/versions/hashes, compatibility metadata, generation time and integrity verification data.</w:t>
      </w:r>
    </w:p>
    <w:p>
      <w:pPr>
        <w:spacing w:after="80"/>
      </w:pPr>
      <w:r>
        <w:t>Package content includes the complete authorized campaign header/status/snapshot/scope, hierarchy, pinned geometry/profile/schema/Commodity/calculation compatibility data, Team authorization, existing Stocktaking data, Ownership/Client data, required Evidence metadata/content references, sync metadata and integrity manifest. It must not download arbitrary whole-Organization data.</w:t>
      </w:r>
    </w:p>
    <w:p>
      <w:pPr>
        <w:spacing w:after="80"/>
      </w:pPr>
      <w:r>
        <w:t>OFFLINE_READY is never returned as a Campaign status. Android derives readiness only after current authorized package download completes and integrity verification succeeds.</w:t>
      </w:r>
    </w:p>
    <w:p>
      <w:pPr>
        <w:spacing w:after="80"/>
      </w:pPr>
      <w:r>
        <w:t>Authorization/package changes may invalidate/refresh a manifest without erasing unsynchronized local work.</w:t>
      </w:r>
    </w:p>
    <w:p>
      <w:pPr>
        <w:pStyle w:val="Heading1"/>
      </w:pPr>
      <w:r>
        <w:t>17. Stocktaking API</w:t>
      </w:r>
    </w:p>
    <w:p>
      <w:pPr>
        <w:pStyle w:val="Heading2"/>
      </w:pPr>
      <w:r>
        <w:t>17.1 Stable record and revisions</w:t>
      </w:r>
    </w:p>
    <w:p>
      <w:pPr>
        <w:spacing w:after="80"/>
      </w:pPr>
      <w:r>
        <w:t>One StocktakingRecord exists per Campaign×StorageSpace. The root exposes currentRevisionId; revision history is separate. Working changes operate on the current working revision. Reset Validation creates a new working revision based on the prior validated revision; prior validated history remains immutable.</w:t>
      </w:r>
    </w:p>
    <w:p>
      <w:pPr>
        <w:pStyle w:val="Heading2"/>
      </w:pPr>
      <w:r>
        <w:t>17.2 Working revision payload</w:t>
      </w:r>
    </w:p>
    <w:p>
      <w:pPr>
        <w:spacing w:after="80"/>
      </w:pPr>
      <w:r>
        <w:t>For a non-empty revision the payload can contain 1–5 Measurements, exact GeometryProfileVersion, CommodityVersion, Actual Bulk Density, Ownership (OWNED|THIRD_PARTY), conditional Client, Notes/Evidence references and calculation metadata. Measurements include sequence, raw value/unit, normalized ullage, datum metadata, geometry version, capture actor/time and entity version where synchronized.</w:t>
      </w:r>
    </w:p>
    <w:p>
      <w:pPr>
        <w:spacing w:after="80"/>
      </w:pPr>
      <w:r>
        <w:t>Ownership is mandatory for non-empty; Client is mandatory only for THIRD_PARTY and must be absent/not required for OWNED according to the frozen rule.</w:t>
      </w:r>
    </w:p>
    <w:p>
      <w:pPr>
        <w:pStyle w:val="Heading2"/>
      </w:pPr>
      <w:r>
        <w:t>17.3 CalculationResult</w:t>
      </w:r>
    </w:p>
    <w:p>
      <w:pPr>
        <w:spacing w:after="80"/>
      </w:pPr>
      <w:r>
        <w:t>API transmits the frozen Calculation Engine metadata: surfaceModelVersion=LEVEL_BASED_V1, aggregation method/version, effective ullage/fill height, product volume, actual bulk density, physical quantity, geometry family/profile version, engine/formula version, input fingerprint, rounding policy and calculated actor/source/time. Official persisted outputs use NUMERIC(20,6)-equivalent scale-6 semantics with ROUND_HALF_UP only at the governed persistence/presentation boundary; intermediate arithmetic is not rounded. Aggregation is MEAN_ULLAGE_V1.</w:t>
      </w:r>
    </w:p>
    <w:p>
      <w:pPr>
        <w:pStyle w:val="Heading2"/>
      </w:pPr>
      <w:r>
        <w:t>17.4 Validate</w:t>
      </w:r>
    </w:p>
    <w:p>
      <w:pPr>
        <w:spacing w:after="80"/>
      </w:pPr>
      <w:r>
        <w:t>Validate is a command, not a generic status patch. Server revalidates Team authorization, ACTIVE Campaign, current revision/version, 1–5 compatible readings, required non-empty fields, exact version/datum compatibility, calculation fingerprint and Evidence rules. Success freezes the validated revision. It does not auto-resolve an Open Issue.</w:t>
      </w:r>
    </w:p>
    <w:p>
      <w:pPr>
        <w:pStyle w:val="Heading2"/>
      </w:pPr>
      <w:r>
        <w:t>17.5 Mark Empty</w:t>
      </w:r>
    </w:p>
    <w:p>
      <w:pPr>
        <w:spacing w:after="80"/>
      </w:pPr>
      <w:r>
        <w:t>Mark Empty is a command. Success yields a VALIDATED revision with isEmpty=true, Product Volume=0 and Physical Quantity=0. Measurements, Commodity, density, Ownership and Client are not fabricated/required. Permitted Notes/Photos may remain. Open Issues are not auto-resolved.</w:t>
      </w:r>
    </w:p>
    <w:p>
      <w:pPr>
        <w:pStyle w:val="Heading1"/>
      </w:pPr>
      <w:r>
        <w:t>18. Issue API</w:t>
      </w:r>
    </w:p>
    <w:p>
      <w:pPr>
        <w:spacing w:after="80"/>
      </w:pPr>
      <w:r>
        <w:t>Issue categories are exactly: MEASUREMENT_PROBLEM, ACCESS_SAFETY, GEOMETRY_DISCREPANCY, COMMODITY_UNCERTAINTY, STORAGE_SPACE_CONDITION, OTHER. Description is mandatory.</w:t>
      </w:r>
    </w:p>
    <w:p>
      <w:pPr>
        <w:spacing w:after="80"/>
      </w:pPr>
      <w:r>
        <w:t>Issue current status is OPEN|RESOLVED. Resolution requires explicit reason/actor/time and appends IssueResolution + IssueStatusEvent/audit. A RESOLVED Issue may be reopened only while Campaign is ACTIVE. Close-time follow-up acceptance is Admin-only and is an explicit OPEN→RESOLVED transition with CLOSE_FOLLOW_UP_ACCEPTANCE, never a third status.</w:t>
      </w:r>
    </w:p>
    <w:p>
      <w:pPr>
        <w:pStyle w:val="Heading1"/>
      </w:pPr>
      <w:r>
        <w:t>19. Evidence API</w:t>
      </w:r>
    </w:p>
    <w:p>
      <w:pPr>
        <w:pStyle w:val="ListBullet"/>
        <w:spacing w:after="20"/>
      </w:pPr>
      <w:r>
        <w:t>Evidence type: `PHOTO|NOTE`; exactly one principal owner: StocktakingRecord or Issue.</w:t>
      </w:r>
    </w:p>
    <w:p>
      <w:pPr>
        <w:pStyle w:val="ListBullet"/>
        <w:spacing w:after="20"/>
      </w:pPr>
      <w:r>
        <w:t>PHOTO maximum: five per StocktakingRevision and five per Issue. NOTE does not consume photo limit.</w:t>
      </w:r>
    </w:p>
    <w:p>
      <w:pPr>
        <w:pStyle w:val="ListBullet"/>
        <w:spacing w:after="20"/>
      </w:pPr>
      <w:r>
        <w:t>PHOTO is normalized JPEG, EXIF orientation corrected, long edge ≤2048 px, target ≤1.5 MB, hard maximum 3 MB, SHA-256 required.</w:t>
      </w:r>
    </w:p>
    <w:p>
      <w:pPr>
        <w:pStyle w:val="ListBullet"/>
        <w:spacing w:after="20"/>
      </w:pPr>
      <w:r>
        <w:t>Metadata creation and binary upload are separate controlled operations. Binary is never embedded as ordinary business JSON.</w:t>
      </w:r>
    </w:p>
    <w:p>
      <w:pPr>
        <w:pStyle w:val="ListBullet"/>
        <w:spacing w:after="20"/>
      </w:pPr>
      <w:r>
        <w:t>Server verifies declared hash and authorized owner/revision binding.</w:t>
      </w:r>
    </w:p>
    <w:p>
      <w:pPr>
        <w:pStyle w:val="ListBullet"/>
        <w:spacing w:after="20"/>
      </w:pPr>
      <w:r>
        <w:t>Unnecessary EXIF is stripped; GPS/device identifiers are not automatically collected.</w:t>
      </w:r>
    </w:p>
    <w:p>
      <w:pPr>
        <w:pStyle w:val="ListBullet"/>
        <w:spacing w:after="20"/>
      </w:pPr>
      <w:r>
        <w:t>Working Evidence may be removed by authorized actor before validation. Validated/frozen Evidence is immutable.</w:t>
      </w:r>
    </w:p>
    <w:p>
      <w:pPr>
        <w:pStyle w:val="ListBullet"/>
        <w:spacing w:after="20"/>
      </w:pPr>
      <w:r>
        <w:t>Binary reads require contextual authorization; object-store internals/public URLs are not exposed as durable business references.</w:t>
      </w:r>
    </w:p>
    <w:p>
      <w:pPr>
        <w:pStyle w:val="Heading1"/>
      </w:pPr>
      <w:r>
        <w:t>20. Sync API</w:t>
      </w:r>
    </w:p>
    <w:p>
      <w:pPr>
        <w:spacing w:after="80"/>
      </w:pPr>
      <w:r>
        <w:t>POST /sync/batch accepts a bounded ordered list of SyncOperation DTOs. Each operation includes operation ID, idempotency key, organization/campaign context, entity type/id, operation type, base entity version, canonical mutation payload, dependency IDs and client/device metadata required by the sync contract.</w:t>
      </w:r>
    </w:p>
    <w:p>
      <w:pPr/>
      <w:r>
        <w:t>GET /sync/pull retrieves authoritative server-to-device changes after an optional server-issued opaque checkpoint. The client never interprets checkpoint internals. Default page size is 200 changes and the server controls the supported maximum. Each change carries entityType, entityId, authoritative entityVersion, changeType, serverChangedAt, authoritative representation/reference and ordering/checkpoint metadata. The response returns an opaque nextCheckpoint for subsequent pulls.</w:t>
      </w:r>
    </w:p>
    <w:p>
      <w:pPr>
        <w:spacing w:after="80"/>
      </w:pPr>
      <w:r>
        <w:t>The response is per-operation and never hides partial batch outcomes:</w:t>
      </w:r>
    </w:p>
    <w:p>
      <w:r>
        <w:rPr>
          <w:rFonts w:ascii="Consolas" w:hAnsi="Consolas"/>
          <w:sz w:val="15"/>
        </w:rPr>
        <w:t>{"results":[{"syncOperationId":"uuid","outcome":"ACKNOWLEDGED|CONFLICT|RETRYABLE_ERROR|PERMANENT_ERROR","entityVersion":12,"error":null,"conflict":null}],"serverTimeUtc":"...","correlationId":"..."}</w:t>
      </w:r>
    </w:p>
    <w:p>
      <w:pPr>
        <w:pStyle w:val="ListBullet"/>
        <w:spacing w:after="20"/>
      </w:pPr>
      <w:r>
        <w:t>ACKNOWLEDGED means the server business effect is durably accepted.</w:t>
      </w:r>
    </w:p>
    <w:p>
      <w:pPr>
        <w:pStyle w:val="ListBullet"/>
        <w:spacing w:after="20"/>
      </w:pPr>
      <w:r>
        <w:t>CONFLICT preserves local attempted value plus server authoritative value/version sufficient for controlled resolution.</w:t>
      </w:r>
    </w:p>
    <w:p>
      <w:pPr>
        <w:pStyle w:val="ListBullet"/>
        <w:spacing w:after="20"/>
      </w:pPr>
      <w:r>
        <w:t>Retryable failure does not change logical operation/idempotency identity.</w:t>
      </w:r>
    </w:p>
    <w:p>
      <w:pPr>
        <w:pStyle w:val="ListBullet"/>
        <w:spacing w:after="20"/>
      </w:pPr>
      <w:r>
        <w:t>Dependency failure prevents dependent apply; critical operations are not silently coalesced.</w:t>
      </w:r>
    </w:p>
    <w:p>
      <w:pPr>
        <w:pStyle w:val="ListBullet"/>
        <w:spacing w:after="20"/>
      </w:pPr>
      <w:r>
        <w:t>Resolution types remain exactly `RELOAD_AND_REENTER`, `DISCARD_LOCAL_ATTEMPT`, `NO_ACTION_REQUIRED`; no force overwrite/auto merge.</w:t>
      </w:r>
    </w:p>
    <w:p>
      <w:pPr>
        <w:pStyle w:val="Heading1"/>
      </w:pPr>
      <w:r>
        <w:t>21. Close API</w:t>
      </w:r>
    </w:p>
    <w:p>
      <w:pPr>
        <w:spacing w:after="80"/>
      </w:pPr>
      <w:r>
        <w:t>POST .../campaigns/{campaignId}:close is Admin-only, online and atomic. Request carries idempotency/correlation/base campaign version plus any explicit approved close context. The server revalidates all guards in the transaction: Campaign ACTIVE; every scoped Storage Space final/Validated; no To Do; mandatory data valid; critical operations synchronized; no Open Issues; authorization/integrity pass.</w:t>
      </w:r>
    </w:p>
    <w:p>
      <w:pPr>
        <w:spacing w:after="80"/>
      </w:pPr>
      <w:r>
        <w:t>Success creates exactly one FinalInventorySnapshot and exactly one entry for every scoped Storage Space, transitions Campaign to COMPLETED and records close audit context. Failure leaves Campaign ACTIVE and creates no partial final snapshot.</w:t>
      </w:r>
    </w:p>
    <w:p>
      <w:pPr>
        <w:spacing w:after="80"/>
      </w:pPr>
      <w:r>
        <w:t>Final snapshot responses freeze hierarchy, geometry/version, Commodity, Ownership/Client, Empty state, Measurements, density/operational values, volume, quantity, calculation metadata, validation actor/time, Issue/Evidence references and close context. Completed history is never recalculated from current master data.</w:t>
      </w:r>
    </w:p>
    <w:p>
      <w:pPr>
        <w:pStyle w:val="Heading1"/>
      </w:pPr>
      <w:r>
        <w:t>22. Reporting, History and Dossier API</w:t>
      </w:r>
    </w:p>
    <w:p>
      <w:pPr>
        <w:spacing w:after="80"/>
      </w:pPr>
      <w:r>
        <w:t>Exactly nine report types are exposed:</w:t>
      </w:r>
    </w:p>
    <w:p>
      <w:pPr>
        <w:pStyle w:val="ListBullet"/>
        <w:spacing w:after="20"/>
      </w:pPr>
      <w:r>
        <w:t>`PHYSICAL_INVENTORY`</w:t>
      </w:r>
    </w:p>
    <w:p>
      <w:pPr>
        <w:pStyle w:val="ListBullet"/>
        <w:spacing w:after="20"/>
      </w:pPr>
      <w:r>
        <w:t>`INVENTORY_BY_LOCATION`</w:t>
      </w:r>
    </w:p>
    <w:p>
      <w:pPr>
        <w:pStyle w:val="ListBullet"/>
        <w:spacing w:after="20"/>
      </w:pPr>
      <w:r>
        <w:t>`INVENTORY_BY_COMMODITY`</w:t>
      </w:r>
    </w:p>
    <w:p>
      <w:pPr>
        <w:pStyle w:val="ListBullet"/>
        <w:spacing w:after="20"/>
      </w:pPr>
      <w:r>
        <w:t>`INVENTORY_BY_OWNERSHIP`</w:t>
      </w:r>
    </w:p>
    <w:p>
      <w:pPr>
        <w:pStyle w:val="ListBullet"/>
        <w:spacing w:after="20"/>
      </w:pPr>
      <w:r>
        <w:t>`STORAGE_SPACE_WORKSHEET`</w:t>
      </w:r>
    </w:p>
    <w:p>
      <w:pPr>
        <w:pStyle w:val="ListBullet"/>
        <w:spacing w:after="20"/>
      </w:pPr>
      <w:r>
        <w:t>`CAPACITY_REPORT`</w:t>
      </w:r>
    </w:p>
    <w:p>
      <w:pPr>
        <w:pStyle w:val="ListBullet"/>
        <w:spacing w:after="20"/>
      </w:pPr>
      <w:r>
        <w:t>`INVENTORY_HISTORY`</w:t>
      </w:r>
    </w:p>
    <w:p>
      <w:pPr>
        <w:pStyle w:val="ListBullet"/>
        <w:spacing w:after="20"/>
      </w:pPr>
      <w:r>
        <w:t>`DIGITAL_INVENTORY_DOSSIER`</w:t>
      </w:r>
    </w:p>
    <w:p>
      <w:pPr>
        <w:pStyle w:val="ListBullet"/>
        <w:spacing w:after="20"/>
      </w:pPr>
      <w:r>
        <w:t>`AUDIT_TRAIL`</w:t>
      </w:r>
    </w:p>
    <w:p>
      <w:pPr>
        <w:spacing w:after="80"/>
      </w:pPr>
      <w:r>
        <w:t>Admin and Standard may access authorized reports; AUDIT_TRAIL is Admin-only. Completed official report datasets use FinalInventorySnapshot. Active-campaign monitoring must be clearly non-final.</w:t>
      </w:r>
    </w:p>
    <w:p>
      <w:pPr>
        <w:spacing w:after="80"/>
      </w:pPr>
      <w:r>
        <w:t>The dataset endpoint and PDF/CSV export endpoint use the same Single Authoritative Report Dataset semantics. Export code may format but must not independently recalculate business totals/history.</w:t>
      </w:r>
    </w:p>
    <w:p>
      <w:pPr>
        <w:spacing w:after="80"/>
      </w:pPr>
      <w:r>
        <w:t>Inventory History accepts 2..N Completed Campaign IDs and supported dimensions: Close Date, Campaign, Commodity, Location, Ownership and Physical Quantity. It returns absolute/percentage change and classifications COMPARABLE, SCOPE_ADDED, SCOPE_REMOVED, CONTEXT_CHANGED; no forecasting.</w:t>
      </w:r>
    </w:p>
    <w:p>
      <w:pPr>
        <w:spacing w:after="80"/>
      </w:pPr>
      <w:r>
        <w:t>Digital Inventory Dossier reads the completed snapshot plus approved Evidence/audit/context references. Evidence binary retrieval remains separately authorized.</w:t>
      </w:r>
    </w:p>
    <w:p>
      <w:pPr>
        <w:pStyle w:val="Heading1"/>
      </w:pPr>
      <w:r>
        <w:t>23. Audit API</w:t>
      </w:r>
    </w:p>
    <w:p>
      <w:pPr>
        <w:spacing w:after="80"/>
      </w:pPr>
      <w:r>
        <w:t>Audit read is Admin-only. AuditEvent response includes stable event ID, organization, actor (nullable only for SYSTEM with system actor metadata), action, entity type/id, timestamp UTC, optional campaign, safe structured before/after/change metadata, correlationId and source.</w:t>
      </w:r>
    </w:p>
    <w:p>
      <w:pPr>
        <w:spacing w:after="80"/>
      </w:pPr>
      <w:r>
        <w:t>Audit API is read-only to organization users. No ordinary endpoint updates/deletes AuditEvent. Local pending audit facts, if surfaced by Android, must be distinguishable from server-confirmed audit.</w:t>
      </w:r>
    </w:p>
    <w:p>
      <w:pPr>
        <w:pStyle w:val="Heading1"/>
      </w:pPr>
      <w:r>
        <w:t>24. Notifications API</w:t>
      </w:r>
    </w:p>
    <w:p>
      <w:pPr>
        <w:spacing w:after="80"/>
      </w:pPr>
      <w:r>
        <w:t>Canonical notification types: SYNC_ERROR, SYNC_CONFLICT, CAMPAIGN_ASSIGNMENT, ISSUE_REQUIRES_ATTENTION, CAMPAIGN_COMPLETED. Response contains unread/read state, timestamp, title/message and optional contextual navigation reference. Deep-link destination rechecks authentication/authorization. Notification is never source of truth or substitute for Audit.</w:t>
      </w:r>
    </w:p>
    <w:p>
      <w:pPr>
        <w:pStyle w:val="Heading1"/>
      </w:pPr>
      <w:r>
        <w:t>25. Preferences and Organization Configuration API</w:t>
      </w:r>
    </w:p>
    <w:p>
      <w:pPr>
        <w:spacing w:after="80"/>
      </w:pPr>
      <w:r>
        <w:t>User preferences are limited to approved representation/notification preferences such as quantity display, density representation where applicable, date/time format, Theme (SYSTEM|LIGHT|DARK), non-critical notification preferences and optional default report format. Mandatory critical notification classes cannot be disabled if classified mandatory.</w:t>
      </w:r>
    </w:p>
    <w:p>
      <w:pPr>
        <w:spacing w:after="80"/>
      </w:pPr>
      <w:r>
        <w:t>Organization Configuration is Admin-mutable only for approved registry keys and typed values. Absence is valid/default behavior. API must reject attempts to configure formulas, engine/aggregation, max measurements, canonical units, Commodity definitions, workflow statuses, Ownership/Client rules, Close Guards, snapshot behavior, sync conflict strategy, evidence hashing, retention, authentication rules, platform limits, server URL, sync interval, disable-sync or force-overwrite.</w:t>
      </w:r>
    </w:p>
    <w:p>
      <w:pPr>
        <w:pStyle w:val="Heading1"/>
      </w:pPr>
      <w:r>
        <w:t>26. Cache and conditional request behavior</w:t>
      </w:r>
    </w:p>
    <w:p>
      <w:pPr>
        <w:pStyle w:val="ListBullet"/>
        <w:spacing w:after="20"/>
      </w:pPr>
      <w:r>
        <w:t>Immutable Geometry/Commodity versions, CampaignSnapshot and FinalSnapshot may use long-lived conditional caching keyed by immutable identity/version, subject to authorization.</w:t>
      </w:r>
    </w:p>
    <w:p>
      <w:pPr>
        <w:pStyle w:val="ListBullet"/>
        <w:spacing w:after="20"/>
      </w:pPr>
      <w:r>
        <w:t>Mutable resources must not be treated as authoritative from HTTP cache after mutation; Room reconciliation/entityVersion governs app state.</w:t>
      </w:r>
    </w:p>
    <w:p>
      <w:pPr>
        <w:pStyle w:val="ListBullet"/>
        <w:spacing w:after="20"/>
      </w:pPr>
      <w:r>
        <w:t>Sensitive authenticated responses must use server cache headers appropriate to privacy; shared/public caching of tenant data is prohibited.</w:t>
      </w:r>
    </w:p>
    <w:p>
      <w:pPr>
        <w:pStyle w:val="Heading1"/>
      </w:pPr>
      <w:r>
        <w:t>27. Retry classification</w:t>
      </w:r>
    </w:p>
    <w:tbl>
      <w:tblPr>
        <w:tblStyle w:val="TableGrid"/>
        <w:tblW w:type="auto" w:w="0"/>
        <w:jc w:val="center"/>
        <w:tblLook w:firstColumn="1" w:firstRow="1" w:lastColumn="0" w:lastRow="0" w:noHBand="0" w:noVBand="1" w:val="04A0"/>
      </w:tblPr>
      <w:tblGrid>
        <w:gridCol w:w="7625"/>
        <w:gridCol w:w="7625"/>
      </w:tblGrid>
      <w:tr>
        <w:trPr>
          <w:tblHeader w:val="true"/>
        </w:trPr>
        <w:tc>
          <w:tcPr>
            <w:tcW w:type="dxa" w:w="7625"/>
            <w:shd w:fill="D9EAF7"/>
          </w:tcPr>
          <w:p>
            <w:r>
              <w:rPr>
                <w:b/>
                <w:sz w:val="14"/>
              </w:rPr>
              <w:t>Class</w:t>
            </w:r>
          </w:p>
        </w:tc>
        <w:tc>
          <w:tcPr>
            <w:tcW w:type="dxa" w:w="7625"/>
            <w:shd w:fill="D9EAF7"/>
          </w:tcPr>
          <w:p>
            <w:r>
              <w:rPr>
                <w:b/>
                <w:sz w:val="14"/>
              </w:rPr>
              <w:t>Client behavior</w:t>
            </w:r>
          </w:p>
        </w:tc>
      </w:tr>
      <w:tr>
        <w:tc>
          <w:tcPr>
            <w:tcW w:type="dxa" w:w="7625"/>
            <w:vAlign w:val="top"/>
          </w:tcPr>
          <w:p>
            <w:pPr>
              <w:spacing w:after="0"/>
            </w:pPr>
            <w:r>
              <w:rPr>
                <w:sz w:val="14"/>
              </w:rPr>
              <w:t>Network timeout/connection/503/selected 5xx</w:t>
            </w:r>
          </w:p>
        </w:tc>
        <w:tc>
          <w:tcPr>
            <w:tcW w:type="dxa" w:w="7625"/>
            <w:vAlign w:val="top"/>
          </w:tcPr>
          <w:p>
            <w:pPr>
              <w:spacing w:after="0"/>
            </w:pPr>
            <w:r>
              <w:rPr>
                <w:sz w:val="14"/>
              </w:rPr>
              <w:t>Retry durable eligible operation with backoff and same idempotency key.</w:t>
            </w:r>
          </w:p>
        </w:tc>
      </w:tr>
      <w:tr>
        <w:tc>
          <w:tcPr>
            <w:tcW w:type="dxa" w:w="7625"/>
            <w:vAlign w:val="top"/>
          </w:tcPr>
          <w:p>
            <w:pPr>
              <w:spacing w:after="0"/>
            </w:pPr>
            <w:r>
              <w:rPr>
                <w:sz w:val="14"/>
              </w:rPr>
              <w:t>429</w:t>
            </w:r>
          </w:p>
        </w:tc>
        <w:tc>
          <w:tcPr>
            <w:tcW w:type="dxa" w:w="7625"/>
            <w:vAlign w:val="top"/>
          </w:tcPr>
          <w:p>
            <w:pPr>
              <w:spacing w:after="0"/>
            </w:pPr>
            <w:r>
              <w:rPr>
                <w:sz w:val="14"/>
              </w:rPr>
              <w:t>Honor Retry-After/backoff; same logical operation.</w:t>
            </w:r>
          </w:p>
        </w:tc>
      </w:tr>
      <w:tr>
        <w:tc>
          <w:tcPr>
            <w:tcW w:type="dxa" w:w="7625"/>
            <w:vAlign w:val="top"/>
          </w:tcPr>
          <w:p>
            <w:pPr>
              <w:spacing w:after="0"/>
            </w:pPr>
            <w:r>
              <w:rPr>
                <w:sz w:val="14"/>
              </w:rPr>
              <w:t>401</w:t>
            </w:r>
          </w:p>
        </w:tc>
        <w:tc>
          <w:tcPr>
            <w:tcW w:type="dxa" w:w="7625"/>
            <w:vAlign w:val="top"/>
          </w:tcPr>
          <w:p>
            <w:pPr>
              <w:spacing w:after="0"/>
            </w:pPr>
            <w:r>
              <w:rPr>
                <w:sz w:val="14"/>
              </w:rPr>
              <w:t>Attempt supported secure refresh once; otherwise require Sign In. Do not delete unsynced work.</w:t>
            </w:r>
          </w:p>
        </w:tc>
      </w:tr>
      <w:tr>
        <w:tc>
          <w:tcPr>
            <w:tcW w:type="dxa" w:w="7625"/>
            <w:vAlign w:val="top"/>
          </w:tcPr>
          <w:p>
            <w:pPr>
              <w:spacing w:after="0"/>
            </w:pPr>
            <w:r>
              <w:rPr>
                <w:sz w:val="14"/>
              </w:rPr>
              <w:t>403</w:t>
            </w:r>
          </w:p>
        </w:tc>
        <w:tc>
          <w:tcPr>
            <w:tcW w:type="dxa" w:w="7625"/>
            <w:vAlign w:val="top"/>
          </w:tcPr>
          <w:p>
            <w:pPr>
              <w:spacing w:after="0"/>
            </w:pPr>
            <w:r>
              <w:rPr>
                <w:sz w:val="14"/>
              </w:rPr>
              <w:t>Do not blind retry; refresh authorization/context where appropriate.</w:t>
            </w:r>
          </w:p>
        </w:tc>
      </w:tr>
      <w:tr>
        <w:tc>
          <w:tcPr>
            <w:tcW w:type="dxa" w:w="7625"/>
            <w:vAlign w:val="top"/>
          </w:tcPr>
          <w:p>
            <w:pPr>
              <w:spacing w:after="0"/>
            </w:pPr>
            <w:r>
              <w:rPr>
                <w:sz w:val="14"/>
              </w:rPr>
              <w:t>409 entity/sync conflict</w:t>
            </w:r>
          </w:p>
        </w:tc>
        <w:tc>
          <w:tcPr>
            <w:tcW w:type="dxa" w:w="7625"/>
            <w:vAlign w:val="top"/>
          </w:tcPr>
          <w:p>
            <w:pPr>
              <w:spacing w:after="0"/>
            </w:pPr>
            <w:r>
              <w:rPr>
                <w:sz w:val="14"/>
              </w:rPr>
              <w:t>Persist explicit conflict and route to controlled resolution/reload.</w:t>
            </w:r>
          </w:p>
        </w:tc>
      </w:tr>
      <w:tr>
        <w:tc>
          <w:tcPr>
            <w:tcW w:type="dxa" w:w="7625"/>
            <w:vAlign w:val="top"/>
          </w:tcPr>
          <w:p>
            <w:pPr>
              <w:spacing w:after="0"/>
            </w:pPr>
            <w:r>
              <w:rPr>
                <w:sz w:val="14"/>
              </w:rPr>
              <w:t>422 permanent validation</w:t>
            </w:r>
          </w:p>
        </w:tc>
        <w:tc>
          <w:tcPr>
            <w:tcW w:type="dxa" w:w="7625"/>
            <w:vAlign w:val="top"/>
          </w:tcPr>
          <w:p>
            <w:pPr>
              <w:spacing w:after="0"/>
            </w:pPr>
            <w:r>
              <w:rPr>
                <w:sz w:val="14"/>
              </w:rPr>
              <w:t>Do not blind retry unchanged payload; surface typed actionable failure.</w:t>
            </w:r>
          </w:p>
        </w:tc>
      </w:tr>
      <w:tr>
        <w:tc>
          <w:tcPr>
            <w:tcW w:type="dxa" w:w="7625"/>
            <w:vAlign w:val="top"/>
          </w:tcPr>
          <w:p>
            <w:pPr>
              <w:spacing w:after="0"/>
            </w:pPr>
            <w:r>
              <w:rPr>
                <w:sz w:val="14"/>
              </w:rPr>
              <w:t>Evidence transfer interruption</w:t>
            </w:r>
          </w:p>
        </w:tc>
        <w:tc>
          <w:tcPr>
            <w:tcW w:type="dxa" w:w="7625"/>
            <w:vAlign w:val="top"/>
          </w:tcPr>
          <w:p>
            <w:pPr>
              <w:spacing w:after="0"/>
            </w:pPr>
            <w:r>
              <w:rPr>
                <w:sz w:val="14"/>
              </w:rPr>
              <w:t>Resume/retry according to Evidence/Sync contract without duplicating Evidence identity.</w:t>
            </w:r>
          </w:p>
        </w:tc>
      </w:tr>
    </w:tbl>
    <w:p>
      <w:pPr>
        <w:spacing w:after="20"/>
      </w:pPr>
    </w:p>
    <w:p>
      <w:pPr>
        <w:pStyle w:val="Heading1"/>
      </w:pPr>
      <w:r>
        <w:t>28. Security and privacy requirements at API boundary</w:t>
      </w:r>
    </w:p>
    <w:p>
      <w:pPr>
        <w:pStyle w:val="ListBullet"/>
        <w:spacing w:after="20"/>
      </w:pPr>
      <w:r>
        <w:t>TLS only in Production; environment/base URL is build-controlled, not user-editable.</w:t>
      </w:r>
    </w:p>
    <w:p>
      <w:pPr>
        <w:pStyle w:val="ListBullet"/>
        <w:spacing w:after="20"/>
      </w:pPr>
      <w:r>
        <w:t>Server authorizes every protected resource/mutation; organization IDs from client are untrusted input.</w:t>
      </w:r>
    </w:p>
    <w:p>
      <w:pPr>
        <w:pStyle w:val="ListBullet"/>
        <w:spacing w:after="20"/>
      </w:pPr>
      <w:r>
        <w:t>No token/password/secret in URL, logs, error details, analytics or audit before/after payloads.</w:t>
      </w:r>
    </w:p>
    <w:p>
      <w:pPr>
        <w:pStyle w:val="ListBullet"/>
        <w:spacing w:after="20"/>
      </w:pPr>
      <w:r>
        <w:t>Correlation IDs are diagnostic only and carry no privilege.</w:t>
      </w:r>
    </w:p>
    <w:p>
      <w:pPr>
        <w:pStyle w:val="ListBullet"/>
        <w:spacing w:after="20"/>
      </w:pPr>
      <w:r>
        <w:t>Error behavior must avoid cross-tenant information leakage.</w:t>
      </w:r>
    </w:p>
    <w:p>
      <w:pPr>
        <w:pStyle w:val="ListBullet"/>
        <w:spacing w:after="20"/>
      </w:pPr>
      <w:r>
        <w:t>Evidence download/upload requires contextual authorization; no durable public object URL.</w:t>
      </w:r>
    </w:p>
    <w:p>
      <w:pPr>
        <w:pStyle w:val="ListBullet"/>
        <w:spacing w:after="20"/>
      </w:pPr>
      <w:r>
        <w:t>API does not collect device hardware identifiers or automatic GPS Evidence metadata.</w:t>
      </w:r>
    </w:p>
    <w:p>
      <w:pPr>
        <w:pStyle w:val="ListBullet"/>
        <w:spacing w:after="20"/>
      </w:pPr>
      <w:r>
        <w:t>Sensitive payload logging is sanitized; full raw business payloads are not default production logs.</w:t>
      </w:r>
    </w:p>
    <w:p>
      <w:pPr>
        <w:pStyle w:val="Heading1"/>
      </w:pPr>
      <w:r>
        <w:t>28.1 Retention-visible API behavior</w:t>
      </w:r>
    </w:p>
    <w:p>
      <w:r>
        <w:t>• Final Inventory Snapshot, Campaign Snapshot, critical AuditEvent, official validated/final Evidence metadata and Issue/resolution history remain API-resolvable for at least 10 years according to authorization and archival availability.</w:t>
      </w:r>
    </w:p>
    <w:p>
      <w:r>
        <w:t>• Notifications are retained server-side for 12 months; expired notifications are not a historical source of truth.</w:t>
      </w:r>
    </w:p>
    <w:p>
      <w:r>
        <w:t>• ACKNOWLEDGED/synced diagnostic SyncOperation records may be purged/archived after the approved 90 days online diagnostic period; unresolved failures/conflicts are not auto-deleted.</w:t>
      </w:r>
    </w:p>
    <w:p>
      <w:r>
        <w:t>• Retention cleanup must not cause completed report/history APIs to depend on mutable current master data.</w:t>
      </w:r>
    </w:p>
    <w:p>
      <w:pPr>
        <w:pStyle w:val="Heading1"/>
      </w:pPr>
      <w:r>
        <w:t>29. Compatibility and evolution</w:t>
      </w:r>
    </w:p>
    <w:p>
      <w:pPr>
        <w:pStyle w:val="ListBullet"/>
        <w:spacing w:after="20"/>
      </w:pPr>
      <w:r>
        <w:t>`/api/v1` changes must remain backward compatible for supported client rollout unless a new major API version is introduced.</w:t>
      </w:r>
    </w:p>
    <w:p>
      <w:pPr>
        <w:pStyle w:val="ListBullet"/>
        <w:spacing w:after="20"/>
      </w:pPr>
      <w:r>
        <w:t>Additive response fields are allowed; removing/renaming fields, changing enum meaning, changing requiredness, changing numeric semantics or reinterpreting status codes is breaking.</w:t>
      </w:r>
    </w:p>
    <w:p>
      <w:pPr>
        <w:pStyle w:val="ListBullet"/>
        <w:spacing w:after="20"/>
      </w:pPr>
      <w:r>
        <w:t>New enum values that change client behavior require coordinated compatibility handling; clients must not silently map unknown workflow values to an existing value.</w:t>
      </w:r>
    </w:p>
    <w:p>
      <w:pPr>
        <w:pStyle w:val="ListBullet"/>
        <w:spacing w:after="20"/>
      </w:pPr>
      <w:r>
        <w:t>Immutable historical DTOs retain enough schema/engine/version metadata for long-term interpretation.</w:t>
      </w:r>
    </w:p>
    <w:p>
      <w:pPr>
        <w:pStyle w:val="ListBullet"/>
        <w:spacing w:after="20"/>
      </w:pPr>
      <w:r>
        <w:t>Server/database migrations and API rollout follow forward-safe compatibility; API must tolerate the approved overlap window between client versions.</w:t>
      </w:r>
    </w:p>
    <w:p>
      <w:pPr>
        <w:pStyle w:val="Heading1"/>
      </w:pPr>
      <w:r>
        <w:t>30. Endpoint-level acceptance criteria</w:t>
      </w:r>
    </w:p>
    <w:p>
      <w:pPr>
        <w:pStyle w:val="ListBullet"/>
        <w:spacing w:after="20"/>
      </w:pPr>
      <w:r>
        <w:t>API-AC01 All protected endpoints perform server-side authorization; UI role visibility is never trusted as authority.</w:t>
      </w:r>
    </w:p>
    <w:p>
      <w:pPr>
        <w:pStyle w:val="ListBullet"/>
        <w:spacing w:after="20"/>
      </w:pPr>
      <w:r>
        <w:t>API-AC02 Every tenant resource is organization-scoped and cross-tenant references are rejected.</w:t>
      </w:r>
    </w:p>
    <w:p>
      <w:pPr>
        <w:pStyle w:val="ListBullet"/>
        <w:spacing w:after="20"/>
      </w:pPr>
      <w:r>
        <w:t>API-AC03 Campaign launch is Admin-only, atomic, no Draft, and server-generates the official Campaign Code.</w:t>
      </w:r>
    </w:p>
    <w:p>
      <w:pPr>
        <w:pStyle w:val="ListBullet"/>
        <w:spacing w:after="20"/>
      </w:pPr>
      <w:r>
        <w:t>API-AC04 Campaign Scope has no post-launch mutation endpoint; Team remains Admin-mutable only while ACTIVE.</w:t>
      </w:r>
    </w:p>
    <w:p>
      <w:pPr>
        <w:pStyle w:val="ListBullet"/>
        <w:spacing w:after="20"/>
      </w:pPr>
      <w:r>
        <w:t>API-AC05 Stocktaking mutations require Campaign Team membership for both Admin and Standard.</w:t>
      </w:r>
    </w:p>
    <w:p>
      <w:pPr>
        <w:pStyle w:val="ListBullet"/>
        <w:spacing w:after="20"/>
      </w:pPr>
      <w:r>
        <w:t>API-AC06 Validate and Mark Empty are explicit commands and never auto-resolve Issues.</w:t>
      </w:r>
    </w:p>
    <w:p>
      <w:pPr>
        <w:pStyle w:val="ListBullet"/>
        <w:spacing w:after="20"/>
      </w:pPr>
      <w:r>
        <w:t>API-AC07 Reset Validation is Admin-only and creates a new working revision without rewriting validated history.</w:t>
      </w:r>
    </w:p>
    <w:p>
      <w:pPr>
        <w:pStyle w:val="ListBullet"/>
        <w:spacing w:after="20"/>
      </w:pPr>
      <w:r>
        <w:t>API-AC08 Geometry and Commodity historical versions are addressable and immutable.</w:t>
      </w:r>
    </w:p>
    <w:p>
      <w:pPr>
        <w:pStyle w:val="ListBullet"/>
        <w:spacing w:after="20"/>
      </w:pPr>
      <w:r>
        <w:t>API-AC09 Evidence binary transfer is separate from JSON and enforces hash/size/authorization/frozen-state rules.</w:t>
      </w:r>
    </w:p>
    <w:p>
      <w:pPr>
        <w:pStyle w:val="ListBullet"/>
        <w:spacing w:after="20"/>
      </w:pPr>
      <w:r>
        <w:t>API-AC10 Offline package is campaign-scoped, device-installation-aware, complete/integrity-verifiable and never defines OFFLINE_READY as Campaign status.</w:t>
      </w:r>
    </w:p>
    <w:p>
      <w:pPr>
        <w:pStyle w:val="ListBullet"/>
        <w:spacing w:after="20"/>
      </w:pPr>
      <w:r>
        <w:t>API-AC11 Retryable synchronized mutations preserve idempotency key and base entity version.</w:t>
      </w:r>
    </w:p>
    <w:p>
      <w:pPr>
        <w:pStyle w:val="ListBullet"/>
        <w:spacing w:after="20"/>
      </w:pPr>
      <w:r>
        <w:t>API-AC12 Sync batch preserves per-operation outcome, dependencies and explicit conflict data; no last-write-wins/force overwrite.</w:t>
      </w:r>
    </w:p>
    <w:p>
      <w:pPr>
        <w:pStyle w:val="ListBullet"/>
        <w:spacing w:after="20"/>
      </w:pPr>
      <w:r>
        <w:t>API-AC13 Close is Admin-only online atomic and creates no partial Final Snapshot.</w:t>
      </w:r>
    </w:p>
    <w:p>
      <w:pPr>
        <w:pStyle w:val="ListBullet"/>
        <w:spacing w:after="20"/>
      </w:pPr>
      <w:r>
        <w:t>API-AC14 Completed reports/history read FinalInventorySnapshot and never recalculate current master data.</w:t>
      </w:r>
    </w:p>
    <w:p>
      <w:pPr>
        <w:pStyle w:val="ListBullet"/>
        <w:spacing w:after="20"/>
      </w:pPr>
      <w:r>
        <w:t>API-AC15 Exactly nine report types exist; Audit Trail is Admin-only.</w:t>
      </w:r>
    </w:p>
    <w:p>
      <w:pPr>
        <w:pStyle w:val="ListBullet"/>
        <w:spacing w:after="20"/>
      </w:pPr>
      <w:r>
        <w:t>API-AC16 PDF/CSV exports use the same authoritative dataset semantics as UI.</w:t>
      </w:r>
    </w:p>
    <w:p>
      <w:pPr>
        <w:pStyle w:val="ListBullet"/>
        <w:spacing w:after="20"/>
      </w:pPr>
      <w:r>
        <w:t>API-AC17 Errors expose stable code, safe message, field errors, correlationId and retryable classification.</w:t>
      </w:r>
    </w:p>
    <w:p>
      <w:pPr>
        <w:pStyle w:val="ListBullet"/>
        <w:spacing w:after="20"/>
      </w:pPr>
      <w:r>
        <w:t>API-AC18 Large server collections support opaque cursor pagination without imposing a fixed UI page size.</w:t>
      </w:r>
    </w:p>
    <w:p>
      <w:pPr>
        <w:pStyle w:val="ListBullet"/>
        <w:spacing w:after="20"/>
      </w:pPr>
      <w:r>
        <w:t>API-AC19 UTC/date-only/decimal serialization preserves frozen time and numerical semantics.</w:t>
      </w:r>
    </w:p>
    <w:p>
      <w:pPr>
        <w:pStyle w:val="ListBullet"/>
        <w:spacing w:after="20"/>
      </w:pPr>
      <w:r>
        <w:t>API-AC20 Disabled Users/memberships and removed Team assignments cannot authorize new operations while historical identity remains readable.</w:t>
      </w:r>
    </w:p>
    <w:p>
      <w:pPr>
        <w:pStyle w:val="ListBullet"/>
        <w:spacing w:after="20"/>
      </w:pPr>
      <w:r>
        <w:t>API-AC21 Organization Configuration cannot mutate System-Controlled Rules.</w:t>
      </w:r>
    </w:p>
    <w:p>
      <w:pPr>
        <w:pStyle w:val="ListBullet"/>
        <w:spacing w:after="20"/>
      </w:pPr>
      <w:r>
        <w:t>API-AC22 Sign Out/session expiry never instructs deletion of durable unsynchronized local business data.</w:t>
      </w:r>
    </w:p>
    <w:p>
      <w:pPr>
        <w:pStyle w:val="ListBullet"/>
        <w:spacing w:after="20"/>
      </w:pPr>
      <w:r>
        <w:t>API-AC23 Audit write is not exposed to ordinary organization clients; authoritative audit remains append-only.</w:t>
      </w:r>
    </w:p>
    <w:p>
      <w:pPr>
        <w:pStyle w:val="ListBullet"/>
        <w:spacing w:after="20"/>
      </w:pPr>
      <w:r>
        <w:t>API-AC24 API DTOs do not expose SQL/Room entities as the domain contract.</w:t>
      </w:r>
    </w:p>
    <w:p>
      <w:pPr>
        <w:pStyle w:val="ListBullet"/>
        <w:spacing w:after="20"/>
      </w:pPr>
      <w:r>
        <w:t>API-AC25 API contract contains no endpoint that edits Geometry during Stocktaking, modifies Completed Campaigns, modifies frozen Scope, or force-overwrites a sync conflict.</w:t>
      </w:r>
    </w:p>
    <w:p>
      <w:pPr>
        <w:pStyle w:val="Heading1"/>
      </w:pPr>
      <w:r>
        <w:t>31. Traceability matrix</w:t>
      </w:r>
    </w:p>
    <w:tbl>
      <w:tblPr>
        <w:tblStyle w:val="TableGrid"/>
        <w:tblW w:type="auto" w:w="0"/>
        <w:jc w:val="center"/>
        <w:tblLook w:firstColumn="1" w:firstRow="1" w:lastColumn="0" w:lastRow="0" w:noHBand="0" w:noVBand="1" w:val="04A0"/>
      </w:tblPr>
      <w:tblGrid>
        <w:gridCol w:w="5083"/>
        <w:gridCol w:w="5083"/>
        <w:gridCol w:w="5083"/>
      </w:tblGrid>
      <w:tr>
        <w:trPr>
          <w:tblHeader w:val="true"/>
        </w:trPr>
        <w:tc>
          <w:tcPr>
            <w:tcW w:type="dxa" w:w="5083"/>
            <w:shd w:fill="D9EAF7"/>
          </w:tcPr>
          <w:p>
            <w:r>
              <w:rPr>
                <w:b/>
                <w:sz w:val="14"/>
              </w:rPr>
              <w:t>Concern</w:t>
            </w:r>
          </w:p>
        </w:tc>
        <w:tc>
          <w:tcPr>
            <w:tcW w:type="dxa" w:w="5083"/>
            <w:shd w:fill="D9EAF7"/>
          </w:tcPr>
          <w:p>
            <w:r>
              <w:rPr>
                <w:b/>
                <w:sz w:val="14"/>
              </w:rPr>
              <w:t>Frozen source</w:t>
            </w:r>
          </w:p>
        </w:tc>
        <w:tc>
          <w:tcPr>
            <w:tcW w:type="dxa" w:w="5083"/>
            <w:shd w:fill="D9EAF7"/>
          </w:tcPr>
          <w:p>
            <w:r>
              <w:rPr>
                <w:b/>
                <w:sz w:val="14"/>
              </w:rPr>
              <w:t>API surface</w:t>
            </w:r>
          </w:p>
        </w:tc>
      </w:tr>
      <w:tr>
        <w:tc>
          <w:tcPr>
            <w:tcW w:type="dxa" w:w="5083"/>
            <w:vAlign w:val="top"/>
          </w:tcPr>
          <w:p>
            <w:pPr>
              <w:spacing w:after="0"/>
            </w:pPr>
            <w:r>
              <w:rPr>
                <w:sz w:val="14"/>
              </w:rPr>
              <w:t>Authentication/session</w:t>
            </w:r>
          </w:p>
        </w:tc>
        <w:tc>
          <w:tcPr>
            <w:tcW w:type="dxa" w:w="5083"/>
            <w:vAlign w:val="top"/>
          </w:tcPr>
          <w:p>
            <w:pPr>
              <w:spacing w:after="0"/>
            </w:pPr>
            <w:r>
              <w:rPr>
                <w:sz w:val="14"/>
              </w:rPr>
              <w:t>D25/D26, FD-15; BR-AUTH-001/002</w:t>
            </w:r>
          </w:p>
        </w:tc>
        <w:tc>
          <w:tcPr>
            <w:tcW w:type="dxa" w:w="5083"/>
            <w:vAlign w:val="top"/>
          </w:tcPr>
          <w:p>
            <w:pPr>
              <w:spacing w:after="0"/>
            </w:pPr>
            <w:r>
              <w:rPr>
                <w:sz w:val="14"/>
              </w:rPr>
              <w:t>/auth/*, /me</w:t>
            </w:r>
          </w:p>
        </w:tc>
      </w:tr>
      <w:tr>
        <w:tc>
          <w:tcPr>
            <w:tcW w:type="dxa" w:w="5083"/>
            <w:vAlign w:val="top"/>
          </w:tcPr>
          <w:p>
            <w:pPr>
              <w:spacing w:after="0"/>
            </w:pPr>
            <w:r>
              <w:rPr>
                <w:sz w:val="14"/>
              </w:rPr>
              <w:t>Organization/master data</w:t>
            </w:r>
          </w:p>
        </w:tc>
        <w:tc>
          <w:tcPr>
            <w:tcW w:type="dxa" w:w="5083"/>
            <w:vAlign w:val="top"/>
          </w:tcPr>
          <w:p>
            <w:pPr>
              <w:spacing w:after="0"/>
            </w:pPr>
            <w:r>
              <w:rPr>
                <w:sz w:val="14"/>
              </w:rPr>
              <w:t>FC-01–FC-06; BR-AUTHZ-001, BR-MD-*</w:t>
            </w:r>
          </w:p>
        </w:tc>
        <w:tc>
          <w:tcPr>
            <w:tcW w:type="dxa" w:w="5083"/>
            <w:vAlign w:val="top"/>
          </w:tcPr>
          <w:p>
            <w:pPr>
              <w:spacing w:after="0"/>
            </w:pPr>
            <w:r>
              <w:rPr>
                <w:sz w:val="14"/>
              </w:rPr>
              <w:t>/organizations/*, /locations, /storage-units, /storage-spaces, /clients, /users</w:t>
            </w:r>
          </w:p>
        </w:tc>
      </w:tr>
      <w:tr>
        <w:tc>
          <w:tcPr>
            <w:tcW w:type="dxa" w:w="5083"/>
            <w:vAlign w:val="top"/>
          </w:tcPr>
          <w:p>
            <w:pPr>
              <w:spacing w:after="0"/>
            </w:pPr>
            <w:r>
              <w:rPr>
                <w:sz w:val="14"/>
              </w:rPr>
              <w:t>Campaign launch</w:t>
            </w:r>
          </w:p>
        </w:tc>
        <w:tc>
          <w:tcPr>
            <w:tcW w:type="dxa" w:w="5083"/>
            <w:vAlign w:val="top"/>
          </w:tcPr>
          <w:p>
            <w:pPr>
              <w:spacing w:after="0"/>
            </w:pPr>
            <w:r>
              <w:rPr>
                <w:sz w:val="14"/>
              </w:rPr>
              <w:t>D01–D08; BR-CAM-*; FD-43/44</w:t>
            </w:r>
          </w:p>
        </w:tc>
        <w:tc>
          <w:tcPr>
            <w:tcW w:type="dxa" w:w="5083"/>
            <w:vAlign w:val="top"/>
          </w:tcPr>
          <w:p>
            <w:pPr>
              <w:spacing w:after="0"/>
            </w:pPr>
            <w:r>
              <w:rPr>
                <w:sz w:val="14"/>
              </w:rPr>
              <w:t>POST /campaigns:launch</w:t>
            </w:r>
          </w:p>
        </w:tc>
      </w:tr>
      <w:tr>
        <w:tc>
          <w:tcPr>
            <w:tcW w:type="dxa" w:w="5083"/>
            <w:vAlign w:val="top"/>
          </w:tcPr>
          <w:p>
            <w:pPr>
              <w:spacing w:after="0"/>
            </w:pPr>
            <w:r>
              <w:rPr>
                <w:sz w:val="14"/>
              </w:rPr>
              <w:t>Offline package</w:t>
            </w:r>
          </w:p>
        </w:tc>
        <w:tc>
          <w:tcPr>
            <w:tcW w:type="dxa" w:w="5083"/>
            <w:vAlign w:val="top"/>
          </w:tcPr>
          <w:p>
            <w:pPr>
              <w:spacing w:after="0"/>
            </w:pPr>
            <w:r>
              <w:rPr>
                <w:sz w:val="14"/>
              </w:rPr>
              <w:t>D29; BR-OFF-*; FD-45</w:t>
            </w:r>
          </w:p>
        </w:tc>
        <w:tc>
          <w:tcPr>
            <w:tcW w:type="dxa" w:w="5083"/>
            <w:vAlign w:val="top"/>
          </w:tcPr>
          <w:p>
            <w:pPr>
              <w:spacing w:after="0"/>
            </w:pPr>
            <w:r>
              <w:rPr>
                <w:sz w:val="14"/>
              </w:rPr>
              <w:t>/offline-manifest, /offline-package</w:t>
            </w:r>
          </w:p>
        </w:tc>
      </w:tr>
      <w:tr>
        <w:tc>
          <w:tcPr>
            <w:tcW w:type="dxa" w:w="5083"/>
            <w:vAlign w:val="top"/>
          </w:tcPr>
          <w:p>
            <w:pPr>
              <w:spacing w:after="0"/>
            </w:pPr>
            <w:r>
              <w:rPr>
                <w:sz w:val="14"/>
              </w:rPr>
              <w:t>Stocktaking/calculation</w:t>
            </w:r>
          </w:p>
        </w:tc>
        <w:tc>
          <w:tcPr>
            <w:tcW w:type="dxa" w:w="5083"/>
            <w:vAlign w:val="top"/>
          </w:tcPr>
          <w:p>
            <w:pPr>
              <w:spacing w:after="0"/>
            </w:pPr>
            <w:r>
              <w:rPr>
                <w:sz w:val="14"/>
              </w:rPr>
              <w:t>D09–D14, D31–D33; BR-STK/OWN/CALC</w:t>
            </w:r>
          </w:p>
        </w:tc>
        <w:tc>
          <w:tcPr>
            <w:tcW w:type="dxa" w:w="5083"/>
            <w:vAlign w:val="top"/>
          </w:tcPr>
          <w:p>
            <w:pPr>
              <w:spacing w:after="0"/>
            </w:pPr>
            <w:r>
              <w:rPr>
                <w:sz w:val="14"/>
              </w:rPr>
              <w:t>/stocktaking/* commands</w:t>
            </w:r>
          </w:p>
        </w:tc>
      </w:tr>
      <w:tr>
        <w:tc>
          <w:tcPr>
            <w:tcW w:type="dxa" w:w="5083"/>
            <w:vAlign w:val="top"/>
          </w:tcPr>
          <w:p>
            <w:pPr>
              <w:spacing w:after="0"/>
            </w:pPr>
            <w:r>
              <w:rPr>
                <w:sz w:val="14"/>
              </w:rPr>
              <w:t>Issues</w:t>
            </w:r>
          </w:p>
        </w:tc>
        <w:tc>
          <w:tcPr>
            <w:tcW w:type="dxa" w:w="5083"/>
            <w:vAlign w:val="top"/>
          </w:tcPr>
          <w:p>
            <w:pPr>
              <w:spacing w:after="0"/>
            </w:pPr>
            <w:r>
              <w:rPr>
                <w:sz w:val="14"/>
              </w:rPr>
              <w:t>D16–D18; BR-ISS-*</w:t>
            </w:r>
          </w:p>
        </w:tc>
        <w:tc>
          <w:tcPr>
            <w:tcW w:type="dxa" w:w="5083"/>
            <w:vAlign w:val="top"/>
          </w:tcPr>
          <w:p>
            <w:pPr>
              <w:spacing w:after="0"/>
            </w:pPr>
            <w:r>
              <w:rPr>
                <w:sz w:val="14"/>
              </w:rPr>
              <w:t>/issues create/resolve/reopen/accept-follow-up</w:t>
            </w:r>
          </w:p>
        </w:tc>
      </w:tr>
      <w:tr>
        <w:tc>
          <w:tcPr>
            <w:tcW w:type="dxa" w:w="5083"/>
            <w:vAlign w:val="top"/>
          </w:tcPr>
          <w:p>
            <w:pPr>
              <w:spacing w:after="0"/>
            </w:pPr>
            <w:r>
              <w:rPr>
                <w:sz w:val="14"/>
              </w:rPr>
              <w:t>Evidence</w:t>
            </w:r>
          </w:p>
        </w:tc>
        <w:tc>
          <w:tcPr>
            <w:tcW w:type="dxa" w:w="5083"/>
            <w:vAlign w:val="top"/>
          </w:tcPr>
          <w:p>
            <w:pPr>
              <w:spacing w:after="0"/>
            </w:pPr>
            <w:r>
              <w:rPr>
                <w:sz w:val="14"/>
              </w:rPr>
              <w:t>D15; BR-EVD-*; FD-46; DM-D35–39</w:t>
            </w:r>
          </w:p>
        </w:tc>
        <w:tc>
          <w:tcPr>
            <w:tcW w:type="dxa" w:w="5083"/>
            <w:vAlign w:val="top"/>
          </w:tcPr>
          <w:p>
            <w:pPr>
              <w:spacing w:after="0"/>
            </w:pPr>
            <w:r>
              <w:rPr>
                <w:sz w:val="14"/>
              </w:rPr>
              <w:t>/evidence metadata/upload/content/delete</w:t>
            </w:r>
          </w:p>
        </w:tc>
      </w:tr>
      <w:tr>
        <w:tc>
          <w:tcPr>
            <w:tcW w:type="dxa" w:w="5083"/>
            <w:vAlign w:val="top"/>
          </w:tcPr>
          <w:p>
            <w:pPr>
              <w:spacing w:after="0"/>
            </w:pPr>
            <w:r>
              <w:rPr>
                <w:sz w:val="14"/>
              </w:rPr>
              <w:t>Sync/conflict</w:t>
            </w:r>
          </w:p>
        </w:tc>
        <w:tc>
          <w:tcPr>
            <w:tcW w:type="dxa" w:w="5083"/>
            <w:vAlign w:val="top"/>
          </w:tcPr>
          <w:p>
            <w:pPr>
              <w:spacing w:after="0"/>
            </w:pPr>
            <w:r>
              <w:rPr>
                <w:sz w:val="14"/>
              </w:rPr>
              <w:t>D30; BR-SYNC-*; IC-11; DM-D40–44</w:t>
            </w:r>
          </w:p>
        </w:tc>
        <w:tc>
          <w:tcPr>
            <w:tcW w:type="dxa" w:w="5083"/>
            <w:vAlign w:val="top"/>
          </w:tcPr>
          <w:p>
            <w:pPr>
              <w:spacing w:after="0"/>
            </w:pPr>
            <w:r>
              <w:rPr>
                <w:sz w:val="14"/>
              </w:rPr>
              <w:t>POST /sync/batch</w:t>
            </w:r>
          </w:p>
        </w:tc>
      </w:tr>
      <w:tr>
        <w:tc>
          <w:tcPr>
            <w:tcW w:type="dxa" w:w="5083"/>
            <w:vAlign w:val="top"/>
          </w:tcPr>
          <w:p>
            <w:pPr>
              <w:spacing w:after="0"/>
            </w:pPr>
            <w:r>
              <w:rPr>
                <w:sz w:val="14"/>
              </w:rPr>
              <w:t>Close/snapshot</w:t>
            </w:r>
          </w:p>
        </w:tc>
        <w:tc>
          <w:tcPr>
            <w:tcW w:type="dxa" w:w="5083"/>
            <w:vAlign w:val="top"/>
          </w:tcPr>
          <w:p>
            <w:pPr>
              <w:spacing w:after="0"/>
            </w:pPr>
            <w:r>
              <w:rPr>
                <w:sz w:val="14"/>
              </w:rPr>
              <w:t>D18–D20; BR-CLS/SNP; FD-43</w:t>
            </w:r>
          </w:p>
        </w:tc>
        <w:tc>
          <w:tcPr>
            <w:tcW w:type="dxa" w:w="5083"/>
            <w:vAlign w:val="top"/>
          </w:tcPr>
          <w:p>
            <w:pPr>
              <w:spacing w:after="0"/>
            </w:pPr>
            <w:r>
              <w:rPr>
                <w:sz w:val="14"/>
              </w:rPr>
              <w:t>close-readiness, :close, final-snapshot</w:t>
            </w:r>
          </w:p>
        </w:tc>
      </w:tr>
      <w:tr>
        <w:tc>
          <w:tcPr>
            <w:tcW w:type="dxa" w:w="5083"/>
            <w:vAlign w:val="top"/>
          </w:tcPr>
          <w:p>
            <w:pPr>
              <w:spacing w:after="0"/>
            </w:pPr>
            <w:r>
              <w:rPr>
                <w:sz w:val="14"/>
              </w:rPr>
              <w:t>Reports/history</w:t>
            </w:r>
          </w:p>
        </w:tc>
        <w:tc>
          <w:tcPr>
            <w:tcW w:type="dxa" w:w="5083"/>
            <w:vAlign w:val="top"/>
          </w:tcPr>
          <w:p>
            <w:pPr>
              <w:spacing w:after="0"/>
            </w:pPr>
            <w:r>
              <w:rPr>
                <w:sz w:val="14"/>
              </w:rPr>
              <w:t>D21–D23; BR-RPT/HIS; FD-47</w:t>
            </w:r>
          </w:p>
        </w:tc>
        <w:tc>
          <w:tcPr>
            <w:tcW w:type="dxa" w:w="5083"/>
            <w:vAlign w:val="top"/>
          </w:tcPr>
          <w:p>
            <w:pPr>
              <w:spacing w:after="0"/>
            </w:pPr>
            <w:r>
              <w:rPr>
                <w:sz w:val="14"/>
              </w:rPr>
              <w:t>/reports, :dataset, :export, inventory-history, dossier</w:t>
            </w:r>
          </w:p>
        </w:tc>
      </w:tr>
      <w:tr>
        <w:tc>
          <w:tcPr>
            <w:tcW w:type="dxa" w:w="5083"/>
            <w:vAlign w:val="top"/>
          </w:tcPr>
          <w:p>
            <w:pPr>
              <w:spacing w:after="0"/>
            </w:pPr>
            <w:r>
              <w:rPr>
                <w:sz w:val="14"/>
              </w:rPr>
              <w:t>Audit</w:t>
            </w:r>
          </w:p>
        </w:tc>
        <w:tc>
          <w:tcPr>
            <w:tcW w:type="dxa" w:w="5083"/>
            <w:vAlign w:val="top"/>
          </w:tcPr>
          <w:p>
            <w:pPr>
              <w:spacing w:after="0"/>
            </w:pPr>
            <w:r>
              <w:rPr>
                <w:sz w:val="14"/>
              </w:rPr>
              <w:t>IC-03; BR-AUD; DM-D50/51</w:t>
            </w:r>
          </w:p>
        </w:tc>
        <w:tc>
          <w:tcPr>
            <w:tcW w:type="dxa" w:w="5083"/>
            <w:vAlign w:val="top"/>
          </w:tcPr>
          <w:p>
            <w:pPr>
              <w:spacing w:after="0"/>
            </w:pPr>
            <w:r>
              <w:rPr>
                <w:sz w:val="14"/>
              </w:rPr>
              <w:t>/audit-events</w:t>
            </w:r>
          </w:p>
        </w:tc>
      </w:tr>
      <w:tr>
        <w:tc>
          <w:tcPr>
            <w:tcW w:type="dxa" w:w="5083"/>
            <w:vAlign w:val="top"/>
          </w:tcPr>
          <w:p>
            <w:pPr>
              <w:spacing w:after="0"/>
            </w:pPr>
            <w:r>
              <w:rPr>
                <w:sz w:val="14"/>
              </w:rPr>
              <w:t>Notifications/settings</w:t>
            </w:r>
          </w:p>
        </w:tc>
        <w:tc>
          <w:tcPr>
            <w:tcW w:type="dxa" w:w="5083"/>
            <w:vAlign w:val="top"/>
          </w:tcPr>
          <w:p>
            <w:pPr>
              <w:spacing w:after="0"/>
            </w:pPr>
            <w:r>
              <w:rPr>
                <w:sz w:val="14"/>
              </w:rPr>
              <w:t>D27/D28; BR-NOT/SET</w:t>
            </w:r>
          </w:p>
        </w:tc>
        <w:tc>
          <w:tcPr>
            <w:tcW w:type="dxa" w:w="5083"/>
            <w:vAlign w:val="top"/>
          </w:tcPr>
          <w:p>
            <w:pPr>
              <w:spacing w:after="0"/>
            </w:pPr>
            <w:r>
              <w:rPr>
                <w:sz w:val="14"/>
              </w:rPr>
              <w:t>/notifications, /preferences, /configuration</w:t>
            </w:r>
          </w:p>
        </w:tc>
      </w:tr>
    </w:tbl>
    <w:p>
      <w:pPr>
        <w:spacing w:after="20"/>
      </w:pPr>
    </w:p>
    <w:p>
      <w:pPr>
        <w:pStyle w:val="Heading1"/>
      </w:pPr>
      <w:r>
        <w:t>32. Cross-document handoff</w:t>
      </w:r>
    </w:p>
    <w:p>
      <w:pPr>
        <w:pStyle w:val="ListBullet"/>
        <w:spacing w:after="20"/>
      </w:pPr>
      <w:r>
        <w:t>Document 12 may define batch sizing, scheduling, pull/delta strategy, retry timing and cleanup in more detail, but cannot alter idempotency, explicit dependencies, conflict outcomes, authorization or durable operation identity defined here.</w:t>
      </w:r>
    </w:p>
    <w:p>
      <w:pPr>
        <w:pStyle w:val="ListBullet"/>
        <w:spacing w:after="20"/>
      </w:pPr>
      <w:r>
        <w:t>Document 13 defines exact F01–F10 parameter/formula schemas consumed by GeometryProfileVersion/CalculationResult DTOs without changing API reproducibility/version semantics.</w:t>
      </w:r>
    </w:p>
    <w:p>
      <w:pPr>
        <w:pStyle w:val="ListBullet"/>
        <w:spacing w:after="20"/>
      </w:pPr>
      <w:r>
        <w:t>Document 15 refines object-storage/upload lifecycle while preserving separate binary transfer, hash verification, privacy and immutable historical Evidence.</w:t>
      </w:r>
    </w:p>
    <w:p>
      <w:pPr>
        <w:pStyle w:val="ListBullet"/>
        <w:spacing w:after="20"/>
      </w:pPr>
      <w:r>
        <w:t>Document 16 defines exact fields/layout/filters for each of the nine report datasets/exports while preserving report inventory, permissions, snapshot source and Single Authoritative Report Dataset.</w:t>
      </w:r>
    </w:p>
    <w:p>
      <w:pPr>
        <w:pStyle w:val="ListBullet"/>
        <w:spacing w:after="20"/>
      </w:pPr>
      <w:r>
        <w:t>Documents 17–20 may harden security/testing/retention/operations without weakening this contract.</w:t>
      </w:r>
    </w:p>
    <w:p>
      <w:pPr>
        <w:pStyle w:val="Heading1"/>
      </w:pPr>
      <w:r>
        <w:t>33. Candidate freeze statement</w:t>
      </w:r>
    </w:p>
    <w:p>
      <w:pPr>
        <w:spacing w:after="80"/>
      </w:pPr>
      <w:r>
        <w:t>After explicit approval, this document becomes the canonical SiloMath V6 API contract. Implementation may refine non-semantic route plumbing, transport optimization and deployment mechanics only if endpoint semantics, authorization, DTO meaning, idempotency/concurrency, error behavior, historical immutability, offline/sync integrity, Evidence separation, Close atomicity and report source rules remain unchanged.</w:t>
      </w:r>
    </w:p>
    <w:p>
      <w:pPr>
        <w:spacing w:after="80"/>
      </w:pPr>
      <w:r>
        <w:t>---</w:t>
      </w:r>
    </w:p>
    <w:p>
      <w:pPr>
        <w:spacing w:after="80"/>
      </w:pPr>
      <w:r>
        <w:t>End of Document — 11_API_SPECIFICATION</w:t>
      </w:r>
    </w:p>
    <w:sectPr w:rsidR="00FC693F" w:rsidRPr="0006063C" w:rsidSect="00034616">
      <w:footerReference w:type="default" r:id="rId9"/>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SiloMath V6 • 11_API_SPECIFICATION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