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SiloMath V6 — 13_CALCULATION_ENGINE_SPECIFICATION</w:t>
      </w:r>
    </w:p>
    <w:p>
      <w:pPr>
        <w:jc w:val="center"/>
      </w:pPr>
      <w:r>
        <w:rPr>
          <w:b/>
          <w:sz w:val="24"/>
        </w:rPr>
        <w:t>Geometry Engine + Quantity Engine — Normative V6 Contract</w:t>
      </w:r>
    </w:p>
    <w:p>
      <w:pPr>
        <w:jc w:val="center"/>
      </w:pPr>
      <w:r>
        <w:t>Status: APPROVED / FROZEN V6</w:t>
      </w:r>
    </w:p>
    <w:p>
      <w:pPr>
        <w:pStyle w:val="Heading1"/>
      </w:pPr>
      <w:r>
        <w:t>1. Purpose and authority</w:t>
      </w:r>
    </w:p>
    <w:p>
      <w:pPr>
        <w:spacing w:after="60"/>
      </w:pPr>
      <w:r>
        <w:t>This document is the normative V6 contract for numerical stocktaking calculation. It consolidates the frozen product/business/data/database/API/offline contracts and the explicitly approved CE-D01–CE-D42 decisions. It defines what Android and server implementations must calculate, validate, version, persist, verify and reproduce. UI presentation is not numerical authority.</w:t>
      </w:r>
    </w:p>
    <w:p>
      <w:pPr>
        <w:spacing w:after="60"/>
      </w:pPr>
      <w:r>
        <w:t>Normative precedence for this document is the frozen V6 documentation set and approved CE-D01–CE-D42. Earlier SiloMatch calculation material is traceability input only where consistent with V6; it cannot override this contract.</w:t>
      </w:r>
    </w:p>
    <w:p>
      <w:pPr>
        <w:pStyle w:val="Heading1"/>
      </w:pPr>
      <w:r>
        <w:t>2. Scope</w:t>
      </w:r>
    </w:p>
    <w:p>
      <w:pPr>
        <w:pStyle w:val="ListBullet"/>
        <w:spacing w:after="20"/>
      </w:pPr>
      <w:r>
        <w:t>Geometry Engine for exactly ten V6 Geometry Families F01–F10.</w:t>
      </w:r>
    </w:p>
    <w:p>
      <w:pPr>
        <w:pStyle w:val="ListBullet"/>
        <w:spacing w:after="20"/>
      </w:pPr>
      <w:r>
        <w:t>Measurement normalization, datum validation and MEAN_ULLAGE_V1 aggregation.</w:t>
      </w:r>
    </w:p>
    <w:p>
      <w:pPr>
        <w:pStyle w:val="ListBullet"/>
        <w:spacing w:after="20"/>
      </w:pPr>
      <w:r>
        <w:t>LEVEL_BASED_V1 effective fill-height model.</w:t>
      </w:r>
    </w:p>
    <w:p>
      <w:pPr>
        <w:pStyle w:val="ListBullet"/>
        <w:spacing w:after="20"/>
      </w:pPr>
      <w:r>
        <w:t>Maximum Capacity and current Product Volume.</w:t>
      </w:r>
    </w:p>
    <w:p>
      <w:pPr>
        <w:pStyle w:val="ListBullet"/>
        <w:spacing w:after="20"/>
      </w:pPr>
      <w:r>
        <w:t>Actual Bulk Density normalization and Physical Quantity.</w:t>
      </w:r>
    </w:p>
    <w:p>
      <w:pPr>
        <w:pStyle w:val="ListBullet"/>
        <w:spacing w:after="20"/>
      </w:pPr>
      <w:r>
        <w:t>Deterministic precision, rounding, fingerprinting and versioning.</w:t>
      </w:r>
    </w:p>
    <w:p>
      <w:pPr>
        <w:pStyle w:val="ListBullet"/>
        <w:spacing w:after="20"/>
      </w:pPr>
      <w:r>
        <w:t>Offline/server parity, validation errors, golden vectors and historical reproducibility.</w:t>
      </w:r>
    </w:p>
    <w:p>
      <w:pPr>
        <w:pStyle w:val="ListBullet"/>
        <w:spacing w:after="20"/>
      </w:pPr>
      <w:r>
        <w:t>Mark Empty interaction with the calculation domain.</w:t>
      </w:r>
    </w:p>
    <w:p>
      <w:pPr>
        <w:spacing w:after="60"/>
      </w:pPr>
      <w:r>
        <w:t>Out of scope: arbitrary 3D surfaces, point clouds, calibration curves, CAD/mesh volume, eccentric/wedge hoppers, non-apex pyramidal frustums for F05/F06, automatic moisture/impurity corrections, packing factors, reconciliation, tenant-authored executable formulas.</w:t>
      </w:r>
    </w:p>
    <w:p>
      <w:pPr>
        <w:pStyle w:val="Heading1"/>
      </w:pPr>
      <w:r>
        <w:t>3. Canonical calculation pipeline</w:t>
      </w:r>
    </w:p>
    <w:p>
      <w:pPr>
        <w:spacing w:after="60"/>
      </w:pPr>
      <w:r>
        <w:t>For a non-empty StocktakingRevision:</w:t>
      </w:r>
    </w:p>
    <w:p>
      <w:pPr>
        <w:spacing w:after="80"/>
        <w:ind w:left="216"/>
      </w:pPr>
      <w:r>
        <w:rPr>
          <w:rFonts w:ascii="Consolas" w:hAnsi="Consolas"/>
          <w:sz w:val="14"/>
        </w:rPr>
        <w:t>Measurements</w:t>
        <w:br/>
        <w:t xml:space="preserve">  → Unit Normalization</w:t>
        <w:br/>
        <w:t xml:space="preserve">  → Compatibility / Datum Validation</w:t>
        <w:br/>
        <w:t xml:space="preserve">  → MEAN_ULLAGE_V1 Aggregation</w:t>
        <w:br/>
        <w:t xml:space="preserve">  → Effective Fill Height</w:t>
        <w:br/>
        <w:t xml:space="preserve">  → Geometry Engine V_family(h)</w:t>
        <w:br/>
        <w:t xml:space="preserve">  → Product Volume [m³]</w:t>
        <w:br/>
        <w:t xml:space="preserve">  → Actual Bulk Density Normalization [kg/m³]</w:t>
        <w:br/>
        <w:t xml:space="preserve">  → Quantity Engine</w:t>
        <w:br/>
        <w:t xml:space="preserve">  → Physical Quantity [kg]</w:t>
      </w:r>
    </w:p>
    <w:p>
      <w:pPr>
        <w:spacing w:after="60"/>
      </w:pPr>
      <w:r>
        <w:t>Canonical equations:</w:t>
      </w:r>
    </w:p>
    <w:p>
      <w:pPr>
        <w:spacing w:after="80"/>
        <w:ind w:left="216"/>
      </w:pPr>
      <w:r>
        <w:rPr>
          <w:rFonts w:ascii="Consolas" w:hAnsi="Consolas"/>
          <w:sz w:val="14"/>
        </w:rPr>
        <w:t>u_eff = (u1 + ... + un) / n,  1 ≤ n ≤ 5</w:t>
        <w:br/>
        <w:t>h = measurementReferenceHeightM - u_eff</w:t>
        <w:br/>
        <w:t>V = V_family(h)</w:t>
        <w:br/>
        <w:t>M = V × ρ</w:t>
      </w:r>
    </w:p>
    <w:p>
      <w:pPr>
        <w:spacing w:after="60"/>
      </w:pPr>
      <w:r>
        <w:t>The surface model identifier is LEVEL_BASED_V1; aggregation is MEAN_ULLAGE_V1. No reading is automatically classified as an outlier or discarded.</w:t>
      </w:r>
    </w:p>
    <w:p>
      <w:pPr>
        <w:pStyle w:val="Heading1"/>
      </w:pPr>
      <w:r>
        <w:t>4. Measurement and datum contract</w:t>
      </w:r>
    </w:p>
    <w:p>
      <w:pPr>
        <w:spacing w:after="60"/>
      </w:pPr>
      <w:r>
        <w:t>ULLAGE is the V6 numerical field measurement: vertical distance downward from the frozen measurement reference point to the product surface. geometryOrigin is the family-specific h=0 plane. measurementReferenceHeightM is the vertical elevation of the physical measurement point above that origin.</w:t>
      </w:r>
    </w:p>
    <w:p>
      <w:pPr>
        <w:spacing w:after="60"/>
      </w:pPr>
      <w:r>
        <w:t>Rules:</w:t>
      </w:r>
    </w:p>
    <w:p>
      <w:pPr>
        <w:pStyle w:val="ListBullet"/>
        <w:spacing w:after="20"/>
      </w:pPr>
      <w:r>
        <w:t>Exactly 1–5 readings for a non-empty numerical calculation.</w:t>
      </w:r>
    </w:p>
    <w:p>
      <w:pPr>
        <w:pStyle w:val="ListBullet"/>
        <w:spacing w:after="20"/>
      </w:pPr>
      <w:r>
        <w:t>Every reading is normalized to metres before aggregation.</w:t>
      </w:r>
    </w:p>
    <w:p>
      <w:pPr>
        <w:pStyle w:val="ListBullet"/>
        <w:spacing w:after="20"/>
      </w:pPr>
      <w:r>
        <w:t>Every reading must be ≥0 and ≤ measurementReferenceHeightM.</w:t>
      </w:r>
    </w:p>
    <w:p>
      <w:pPr>
        <w:pStyle w:val="ListBullet"/>
        <w:spacing w:after="20"/>
      </w:pPr>
      <w:r>
        <w:t>All readings in one result use the same GeometryProfileVersion, datum/reference, measurement type and compatible unit semantics.</w:t>
      </w:r>
    </w:p>
    <w:p>
      <w:pPr>
        <w:pStyle w:val="ListBullet"/>
        <w:spacing w:after="20"/>
      </w:pPr>
      <w:r>
        <w:t>One invalid reading blocks the result; no partial subset calculation is allowed.</w:t>
      </w:r>
    </w:p>
    <w:p>
      <w:pPr>
        <w:pStyle w:val="ListBullet"/>
        <w:spacing w:after="20"/>
      </w:pPr>
      <w:r>
        <w:t>h must satisfy 0 ≤ h ≤ maximumFillHeightM.</w:t>
      </w:r>
    </w:p>
    <w:p>
      <w:pPr>
        <w:pStyle w:val="ListBullet"/>
        <w:spacing w:after="20"/>
      </w:pPr>
      <w:r>
        <w:t>measurementReferenceHeightM may exceed maximumFillHeightM when the physical reference point lies above the maximum product surface.</w:t>
      </w:r>
    </w:p>
    <w:p>
      <w:pPr>
        <w:pStyle w:val="ListBullet"/>
        <w:spacing w:after="20"/>
      </w:pPr>
      <w:r>
        <w:t>Geometry is read-only during stocktaking; an apparent geometry mismatch is reported as an Issue, not corrected by changing geometry.</w:t>
      </w:r>
    </w:p>
    <w:p>
      <w:pPr>
        <w:pStyle w:val="Heading1"/>
      </w:pPr>
      <w:r>
        <w:t>5. GeometryProfileVersion calculation contract</w:t>
      </w:r>
    </w:p>
    <w:p>
      <w:pPr>
        <w:spacing w:after="60"/>
      </w:pPr>
      <w:r>
        <w:t>Every calculation-capable immutable GeometryProfileVersion carries the controlled family identity, formula/schema versions, family parameters in canonical SI units, measurementReferenceHeightM, maximumFillHeightM, geometryOrigin, calculated maxCapacityM3, and provenance where the family requires it.</w:t>
      </w:r>
    </w:p>
    <w:p>
      <w:pPr>
        <w:spacing w:after="60"/>
      </w:pPr>
      <w:r>
        <w:t>maximumFillHeightM must equal the full geometric fill height defined by the family parameter schema. maxCapacityM3 is always derived as V_family(maximumFillHeightM) and is never manually entered.</w:t>
      </w:r>
    </w:p>
    <w:p>
      <w:pPr>
        <w:pStyle w:val="Heading1"/>
      </w:pPr>
      <w:r>
        <w:t>6. Geometry Family registry</w:t>
      </w:r>
    </w:p>
    <w:tbl>
      <w:tblPr>
        <w:tblStyle w:val="TableGrid"/>
        <w:tblW w:type="auto" w:w="0"/>
        <w:jc w:val="center"/>
        <w:tblLook w:firstColumn="1" w:firstRow="1" w:lastColumn="0" w:lastRow="0" w:noHBand="0" w:noVBand="1" w:val="04A0"/>
      </w:tblPr>
      <w:tblGrid>
        <w:gridCol w:w="2542"/>
        <w:gridCol w:w="2542"/>
        <w:gridCol w:w="2542"/>
        <w:gridCol w:w="2542"/>
        <w:gridCol w:w="2542"/>
        <w:gridCol w:w="2542"/>
      </w:tblGrid>
      <w:tr>
        <w:trPr>
          <w:tblHeader w:val="true"/>
        </w:trPr>
        <w:tc>
          <w:tcPr>
            <w:tcW w:type="dxa" w:w="2542"/>
            <w:shd w:fill="D9EAF7"/>
          </w:tcPr>
          <w:p>
            <w:r>
              <w:rPr>
                <w:b/>
                <w:sz w:val="14"/>
              </w:rPr>
              <w:t>Code</w:t>
            </w:r>
          </w:p>
        </w:tc>
        <w:tc>
          <w:tcPr>
            <w:tcW w:type="dxa" w:w="2542"/>
            <w:shd w:fill="D9EAF7"/>
          </w:tcPr>
          <w:p>
            <w:r>
              <w:rPr>
                <w:b/>
                <w:sz w:val="14"/>
              </w:rPr>
              <w:t>Canonical identifier</w:t>
            </w:r>
          </w:p>
        </w:tc>
        <w:tc>
          <w:tcPr>
            <w:tcW w:type="dxa" w:w="2542"/>
            <w:shd w:fill="D9EAF7"/>
          </w:tcPr>
          <w:p>
            <w:r>
              <w:rPr>
                <w:b/>
                <w:sz w:val="14"/>
              </w:rPr>
              <w:t>Fixed profile inputs</w:t>
            </w:r>
          </w:p>
        </w:tc>
        <w:tc>
          <w:tcPr>
            <w:tcW w:type="dxa" w:w="2542"/>
            <w:shd w:fill="D9EAF7"/>
          </w:tcPr>
          <w:p>
            <w:r>
              <w:rPr>
                <w:b/>
                <w:sz w:val="14"/>
              </w:rPr>
              <w:t>Blocking parameter rules</w:t>
            </w:r>
          </w:p>
        </w:tc>
        <w:tc>
          <w:tcPr>
            <w:tcW w:type="dxa" w:w="2542"/>
            <w:shd w:fill="D9EAF7"/>
          </w:tcPr>
          <w:p>
            <w:r>
              <w:rPr>
                <w:b/>
                <w:sz w:val="14"/>
              </w:rPr>
              <w:t>maximumFillHeightM</w:t>
            </w:r>
          </w:p>
        </w:tc>
        <w:tc>
          <w:tcPr>
            <w:tcW w:type="dxa" w:w="2542"/>
            <w:shd w:fill="D9EAF7"/>
          </w:tcPr>
          <w:p>
            <w:r>
              <w:rPr>
                <w:b/>
                <w:sz w:val="14"/>
              </w:rPr>
              <w:t>V(h) strategy</w:t>
            </w:r>
          </w:p>
        </w:tc>
      </w:tr>
      <w:tr>
        <w:tc>
          <w:tcPr>
            <w:tcW w:type="dxa" w:w="2542"/>
            <w:vAlign w:val="top"/>
          </w:tcPr>
          <w:p>
            <w:pPr>
              <w:spacing w:after="0"/>
            </w:pPr>
            <w:r>
              <w:rPr>
                <w:sz w:val="12"/>
              </w:rPr>
              <w:t>F01</w:t>
            </w:r>
          </w:p>
        </w:tc>
        <w:tc>
          <w:tcPr>
            <w:tcW w:type="dxa" w:w="2542"/>
            <w:vAlign w:val="top"/>
          </w:tcPr>
          <w:p>
            <w:pPr>
              <w:spacing w:after="0"/>
            </w:pPr>
            <w:r>
              <w:rPr>
                <w:sz w:val="12"/>
              </w:rPr>
              <w:t>CYL_TRUNC_CONE_V1</w:t>
            </w:r>
          </w:p>
        </w:tc>
        <w:tc>
          <w:tcPr>
            <w:tcW w:type="dxa" w:w="2542"/>
            <w:vAlign w:val="top"/>
          </w:tcPr>
          <w:p>
            <w:pPr>
              <w:spacing w:after="0"/>
            </w:pPr>
            <w:r>
              <w:rPr>
                <w:sz w:val="12"/>
              </w:rPr>
              <w:t>D,Hcyl,Hhop,d</w:t>
            </w:r>
          </w:p>
        </w:tc>
        <w:tc>
          <w:tcPr>
            <w:tcW w:type="dxa" w:w="2542"/>
            <w:vAlign w:val="top"/>
          </w:tcPr>
          <w:p>
            <w:pPr>
              <w:spacing w:after="0"/>
            </w:pPr>
            <w:r>
              <w:rPr>
                <w:sz w:val="12"/>
              </w:rPr>
              <w:t>D&gt;0; Hcyl≥0; Hhop&gt;0; 0≤d&lt;D</w:t>
            </w:r>
          </w:p>
        </w:tc>
        <w:tc>
          <w:tcPr>
            <w:tcW w:type="dxa" w:w="2542"/>
            <w:vAlign w:val="top"/>
          </w:tcPr>
          <w:p>
            <w:pPr>
              <w:spacing w:after="0"/>
            </w:pPr>
            <w:r>
              <w:rPr>
                <w:sz w:val="12"/>
              </w:rPr>
              <w:t>Hhop+Hcyl</w:t>
            </w:r>
          </w:p>
        </w:tc>
        <w:tc>
          <w:tcPr>
            <w:tcW w:type="dxa" w:w="2542"/>
            <w:vAlign w:val="top"/>
          </w:tcPr>
          <w:p>
            <w:pPr>
              <w:spacing w:after="0"/>
            </w:pPr>
            <w:r>
              <w:rPr>
                <w:sz w:val="12"/>
              </w:rPr>
              <w:t>Piecewise frustum then cylinder</w:t>
            </w:r>
          </w:p>
        </w:tc>
      </w:tr>
      <w:tr>
        <w:tc>
          <w:tcPr>
            <w:tcW w:type="dxa" w:w="2542"/>
            <w:vAlign w:val="top"/>
          </w:tcPr>
          <w:p>
            <w:pPr>
              <w:spacing w:after="0"/>
            </w:pPr>
            <w:r>
              <w:rPr>
                <w:sz w:val="12"/>
              </w:rPr>
              <w:t>F02</w:t>
            </w:r>
          </w:p>
        </w:tc>
        <w:tc>
          <w:tcPr>
            <w:tcW w:type="dxa" w:w="2542"/>
            <w:vAlign w:val="top"/>
          </w:tcPr>
          <w:p>
            <w:pPr>
              <w:spacing w:after="0"/>
            </w:pPr>
            <w:r>
              <w:rPr>
                <w:sz w:val="12"/>
              </w:rPr>
              <w:t>CYL_FLAT_V1</w:t>
            </w:r>
          </w:p>
        </w:tc>
        <w:tc>
          <w:tcPr>
            <w:tcW w:type="dxa" w:w="2542"/>
            <w:vAlign w:val="top"/>
          </w:tcPr>
          <w:p>
            <w:pPr>
              <w:spacing w:after="0"/>
            </w:pPr>
            <w:r>
              <w:rPr>
                <w:sz w:val="12"/>
              </w:rPr>
              <w:t>D,H</w:t>
            </w:r>
          </w:p>
        </w:tc>
        <w:tc>
          <w:tcPr>
            <w:tcW w:type="dxa" w:w="2542"/>
            <w:vAlign w:val="top"/>
          </w:tcPr>
          <w:p>
            <w:pPr>
              <w:spacing w:after="0"/>
            </w:pPr>
            <w:r>
              <w:rPr>
                <w:sz w:val="12"/>
              </w:rPr>
              <w:t>D&gt;0; H&gt;0</w:t>
            </w:r>
          </w:p>
        </w:tc>
        <w:tc>
          <w:tcPr>
            <w:tcW w:type="dxa" w:w="2542"/>
            <w:vAlign w:val="top"/>
          </w:tcPr>
          <w:p>
            <w:pPr>
              <w:spacing w:after="0"/>
            </w:pPr>
            <w:r>
              <w:rPr>
                <w:sz w:val="12"/>
              </w:rPr>
              <w:t>H</w:t>
            </w:r>
          </w:p>
        </w:tc>
        <w:tc>
          <w:tcPr>
            <w:tcW w:type="dxa" w:w="2542"/>
            <w:vAlign w:val="top"/>
          </w:tcPr>
          <w:p>
            <w:pPr>
              <w:spacing w:after="0"/>
            </w:pPr>
            <w:r>
              <w:rPr>
                <w:sz w:val="12"/>
              </w:rPr>
              <w:t>π(D/2)²h</w:t>
            </w:r>
          </w:p>
        </w:tc>
      </w:tr>
      <w:tr>
        <w:tc>
          <w:tcPr>
            <w:tcW w:type="dxa" w:w="2542"/>
            <w:vAlign w:val="top"/>
          </w:tcPr>
          <w:p>
            <w:pPr>
              <w:spacing w:after="0"/>
            </w:pPr>
            <w:r>
              <w:rPr>
                <w:sz w:val="12"/>
              </w:rPr>
              <w:t>F03</w:t>
            </w:r>
          </w:p>
        </w:tc>
        <w:tc>
          <w:tcPr>
            <w:tcW w:type="dxa" w:w="2542"/>
            <w:vAlign w:val="top"/>
          </w:tcPr>
          <w:p>
            <w:pPr>
              <w:spacing w:after="0"/>
            </w:pPr>
            <w:r>
              <w:rPr>
                <w:sz w:val="12"/>
              </w:rPr>
              <w:t>SQUARE_FLAT_V1</w:t>
            </w:r>
          </w:p>
        </w:tc>
        <w:tc>
          <w:tcPr>
            <w:tcW w:type="dxa" w:w="2542"/>
            <w:vAlign w:val="top"/>
          </w:tcPr>
          <w:p>
            <w:pPr>
              <w:spacing w:after="0"/>
            </w:pPr>
            <w:r>
              <w:rPr>
                <w:sz w:val="12"/>
              </w:rPr>
              <w:t>a,H</w:t>
            </w:r>
          </w:p>
        </w:tc>
        <w:tc>
          <w:tcPr>
            <w:tcW w:type="dxa" w:w="2542"/>
            <w:vAlign w:val="top"/>
          </w:tcPr>
          <w:p>
            <w:pPr>
              <w:spacing w:after="0"/>
            </w:pPr>
            <w:r>
              <w:rPr>
                <w:sz w:val="12"/>
              </w:rPr>
              <w:t>a&gt;0; H&gt;0</w:t>
            </w:r>
          </w:p>
        </w:tc>
        <w:tc>
          <w:tcPr>
            <w:tcW w:type="dxa" w:w="2542"/>
            <w:vAlign w:val="top"/>
          </w:tcPr>
          <w:p>
            <w:pPr>
              <w:spacing w:after="0"/>
            </w:pPr>
            <w:r>
              <w:rPr>
                <w:sz w:val="12"/>
              </w:rPr>
              <w:t>H</w:t>
            </w:r>
          </w:p>
        </w:tc>
        <w:tc>
          <w:tcPr>
            <w:tcW w:type="dxa" w:w="2542"/>
            <w:vAlign w:val="top"/>
          </w:tcPr>
          <w:p>
            <w:pPr>
              <w:spacing w:after="0"/>
            </w:pPr>
            <w:r>
              <w:rPr>
                <w:sz w:val="12"/>
              </w:rPr>
              <w:t>a²h</w:t>
            </w:r>
          </w:p>
        </w:tc>
      </w:tr>
      <w:tr>
        <w:tc>
          <w:tcPr>
            <w:tcW w:type="dxa" w:w="2542"/>
            <w:vAlign w:val="top"/>
          </w:tcPr>
          <w:p>
            <w:pPr>
              <w:spacing w:after="0"/>
            </w:pPr>
            <w:r>
              <w:rPr>
                <w:sz w:val="12"/>
              </w:rPr>
              <w:t>F04</w:t>
            </w:r>
          </w:p>
        </w:tc>
        <w:tc>
          <w:tcPr>
            <w:tcW w:type="dxa" w:w="2542"/>
            <w:vAlign w:val="top"/>
          </w:tcPr>
          <w:p>
            <w:pPr>
              <w:spacing w:after="0"/>
            </w:pPr>
            <w:r>
              <w:rPr>
                <w:sz w:val="12"/>
              </w:rPr>
              <w:t>RECT_FLAT_V1</w:t>
            </w:r>
          </w:p>
        </w:tc>
        <w:tc>
          <w:tcPr>
            <w:tcW w:type="dxa" w:w="2542"/>
            <w:vAlign w:val="top"/>
          </w:tcPr>
          <w:p>
            <w:pPr>
              <w:spacing w:after="0"/>
            </w:pPr>
            <w:r>
              <w:rPr>
                <w:sz w:val="12"/>
              </w:rPr>
              <w:t>L,W,H</w:t>
            </w:r>
          </w:p>
        </w:tc>
        <w:tc>
          <w:tcPr>
            <w:tcW w:type="dxa" w:w="2542"/>
            <w:vAlign w:val="top"/>
          </w:tcPr>
          <w:p>
            <w:pPr>
              <w:spacing w:after="0"/>
            </w:pPr>
            <w:r>
              <w:rPr>
                <w:sz w:val="12"/>
              </w:rPr>
              <w:t>L,W,H&gt;0</w:t>
            </w:r>
          </w:p>
        </w:tc>
        <w:tc>
          <w:tcPr>
            <w:tcW w:type="dxa" w:w="2542"/>
            <w:vAlign w:val="top"/>
          </w:tcPr>
          <w:p>
            <w:pPr>
              <w:spacing w:after="0"/>
            </w:pPr>
            <w:r>
              <w:rPr>
                <w:sz w:val="12"/>
              </w:rPr>
              <w:t>H</w:t>
            </w:r>
          </w:p>
        </w:tc>
        <w:tc>
          <w:tcPr>
            <w:tcW w:type="dxa" w:w="2542"/>
            <w:vAlign w:val="top"/>
          </w:tcPr>
          <w:p>
            <w:pPr>
              <w:spacing w:after="0"/>
            </w:pPr>
            <w:r>
              <w:rPr>
                <w:sz w:val="12"/>
              </w:rPr>
              <w:t>LWh</w:t>
            </w:r>
          </w:p>
        </w:tc>
      </w:tr>
      <w:tr>
        <w:tc>
          <w:tcPr>
            <w:tcW w:type="dxa" w:w="2542"/>
            <w:vAlign w:val="top"/>
          </w:tcPr>
          <w:p>
            <w:pPr>
              <w:spacing w:after="0"/>
            </w:pPr>
            <w:r>
              <w:rPr>
                <w:sz w:val="12"/>
              </w:rPr>
              <w:t>F05</w:t>
            </w:r>
          </w:p>
        </w:tc>
        <w:tc>
          <w:tcPr>
            <w:tcW w:type="dxa" w:w="2542"/>
            <w:vAlign w:val="top"/>
          </w:tcPr>
          <w:p>
            <w:pPr>
              <w:spacing w:after="0"/>
            </w:pPr>
            <w:r>
              <w:rPr>
                <w:sz w:val="12"/>
              </w:rPr>
              <w:t>SQUARE_PYRAMID_HOPPER_V1</w:t>
            </w:r>
          </w:p>
        </w:tc>
        <w:tc>
          <w:tcPr>
            <w:tcW w:type="dxa" w:w="2542"/>
            <w:vAlign w:val="top"/>
          </w:tcPr>
          <w:p>
            <w:pPr>
              <w:spacing w:after="0"/>
            </w:pPr>
            <w:r>
              <w:rPr>
                <w:sz w:val="12"/>
              </w:rPr>
              <w:t>a,Hbody,Hhop</w:t>
            </w:r>
          </w:p>
        </w:tc>
        <w:tc>
          <w:tcPr>
            <w:tcW w:type="dxa" w:w="2542"/>
            <w:vAlign w:val="top"/>
          </w:tcPr>
          <w:p>
            <w:pPr>
              <w:spacing w:after="0"/>
            </w:pPr>
            <w:r>
              <w:rPr>
                <w:sz w:val="12"/>
              </w:rPr>
              <w:t>a&gt;0; Hbody≥0; Hhop&gt;0</w:t>
            </w:r>
          </w:p>
        </w:tc>
        <w:tc>
          <w:tcPr>
            <w:tcW w:type="dxa" w:w="2542"/>
            <w:vAlign w:val="top"/>
          </w:tcPr>
          <w:p>
            <w:pPr>
              <w:spacing w:after="0"/>
            </w:pPr>
            <w:r>
              <w:rPr>
                <w:sz w:val="12"/>
              </w:rPr>
              <w:t>Hhop+Hbody</w:t>
            </w:r>
          </w:p>
        </w:tc>
        <w:tc>
          <w:tcPr>
            <w:tcW w:type="dxa" w:w="2542"/>
            <w:vAlign w:val="top"/>
          </w:tcPr>
          <w:p>
            <w:pPr>
              <w:spacing w:after="0"/>
            </w:pPr>
            <w:r>
              <w:rPr>
                <w:sz w:val="12"/>
              </w:rPr>
              <w:t>Piecewise square pyramid then square prism</w:t>
            </w:r>
          </w:p>
        </w:tc>
      </w:tr>
      <w:tr>
        <w:tc>
          <w:tcPr>
            <w:tcW w:type="dxa" w:w="2542"/>
            <w:vAlign w:val="top"/>
          </w:tcPr>
          <w:p>
            <w:pPr>
              <w:spacing w:after="0"/>
            </w:pPr>
            <w:r>
              <w:rPr>
                <w:sz w:val="12"/>
              </w:rPr>
              <w:t>F06</w:t>
            </w:r>
          </w:p>
        </w:tc>
        <w:tc>
          <w:tcPr>
            <w:tcW w:type="dxa" w:w="2542"/>
            <w:vAlign w:val="top"/>
          </w:tcPr>
          <w:p>
            <w:pPr>
              <w:spacing w:after="0"/>
            </w:pPr>
            <w:r>
              <w:rPr>
                <w:sz w:val="12"/>
              </w:rPr>
              <w:t>RECT_PYRAMID_HOPPER_V1</w:t>
            </w:r>
          </w:p>
        </w:tc>
        <w:tc>
          <w:tcPr>
            <w:tcW w:type="dxa" w:w="2542"/>
            <w:vAlign w:val="top"/>
          </w:tcPr>
          <w:p>
            <w:pPr>
              <w:spacing w:after="0"/>
            </w:pPr>
            <w:r>
              <w:rPr>
                <w:sz w:val="12"/>
              </w:rPr>
              <w:t>L,W,Hbody,Hhop</w:t>
            </w:r>
          </w:p>
        </w:tc>
        <w:tc>
          <w:tcPr>
            <w:tcW w:type="dxa" w:w="2542"/>
            <w:vAlign w:val="top"/>
          </w:tcPr>
          <w:p>
            <w:pPr>
              <w:spacing w:after="0"/>
            </w:pPr>
            <w:r>
              <w:rPr>
                <w:sz w:val="12"/>
              </w:rPr>
              <w:t>L,W&gt;0; Hbody≥0; Hhop&gt;0</w:t>
            </w:r>
          </w:p>
        </w:tc>
        <w:tc>
          <w:tcPr>
            <w:tcW w:type="dxa" w:w="2542"/>
            <w:vAlign w:val="top"/>
          </w:tcPr>
          <w:p>
            <w:pPr>
              <w:spacing w:after="0"/>
            </w:pPr>
            <w:r>
              <w:rPr>
                <w:sz w:val="12"/>
              </w:rPr>
              <w:t>Hhop+Hbody</w:t>
            </w:r>
          </w:p>
        </w:tc>
        <w:tc>
          <w:tcPr>
            <w:tcW w:type="dxa" w:w="2542"/>
            <w:vAlign w:val="top"/>
          </w:tcPr>
          <w:p>
            <w:pPr>
              <w:spacing w:after="0"/>
            </w:pPr>
            <w:r>
              <w:rPr>
                <w:sz w:val="12"/>
              </w:rPr>
              <w:t>Piecewise rectangular pyramid then rectangular prism</w:t>
            </w:r>
          </w:p>
        </w:tc>
      </w:tr>
      <w:tr>
        <w:tc>
          <w:tcPr>
            <w:tcW w:type="dxa" w:w="2542"/>
            <w:vAlign w:val="top"/>
          </w:tcPr>
          <w:p>
            <w:pPr>
              <w:spacing w:after="0"/>
            </w:pPr>
            <w:r>
              <w:rPr>
                <w:sz w:val="12"/>
              </w:rPr>
              <w:t>F07</w:t>
            </w:r>
          </w:p>
        </w:tc>
        <w:tc>
          <w:tcPr>
            <w:tcW w:type="dxa" w:w="2542"/>
            <w:vAlign w:val="top"/>
          </w:tcPr>
          <w:p>
            <w:pPr>
              <w:spacing w:after="0"/>
            </w:pPr>
            <w:r>
              <w:rPr>
                <w:sz w:val="12"/>
              </w:rPr>
              <w:t>REG_HEX_FLAT_V1</w:t>
            </w:r>
          </w:p>
        </w:tc>
        <w:tc>
          <w:tcPr>
            <w:tcW w:type="dxa" w:w="2542"/>
            <w:vAlign w:val="top"/>
          </w:tcPr>
          <w:p>
            <w:pPr>
              <w:spacing w:after="0"/>
            </w:pPr>
            <w:r>
              <w:rPr>
                <w:sz w:val="12"/>
              </w:rPr>
              <w:t>s,H</w:t>
            </w:r>
          </w:p>
        </w:tc>
        <w:tc>
          <w:tcPr>
            <w:tcW w:type="dxa" w:w="2542"/>
            <w:vAlign w:val="top"/>
          </w:tcPr>
          <w:p>
            <w:pPr>
              <w:spacing w:after="0"/>
            </w:pPr>
            <w:r>
              <w:rPr>
                <w:sz w:val="12"/>
              </w:rPr>
              <w:t>s&gt;0; H&gt;0</w:t>
            </w:r>
          </w:p>
        </w:tc>
        <w:tc>
          <w:tcPr>
            <w:tcW w:type="dxa" w:w="2542"/>
            <w:vAlign w:val="top"/>
          </w:tcPr>
          <w:p>
            <w:pPr>
              <w:spacing w:after="0"/>
            </w:pPr>
            <w:r>
              <w:rPr>
                <w:sz w:val="12"/>
              </w:rPr>
              <w:t>H</w:t>
            </w:r>
          </w:p>
        </w:tc>
        <w:tc>
          <w:tcPr>
            <w:tcW w:type="dxa" w:w="2542"/>
            <w:vAlign w:val="top"/>
          </w:tcPr>
          <w:p>
            <w:pPr>
              <w:spacing w:after="0"/>
            </w:pPr>
            <w:r>
              <w:rPr>
                <w:sz w:val="12"/>
              </w:rPr>
              <w:t>[(3√3/2)s²]h</w:t>
            </w:r>
          </w:p>
        </w:tc>
      </w:tr>
      <w:tr>
        <w:tc>
          <w:tcPr>
            <w:tcW w:type="dxa" w:w="2542"/>
            <w:vAlign w:val="top"/>
          </w:tcPr>
          <w:p>
            <w:pPr>
              <w:spacing w:after="0"/>
            </w:pPr>
            <w:r>
              <w:rPr>
                <w:sz w:val="12"/>
              </w:rPr>
              <w:t>F08</w:t>
            </w:r>
          </w:p>
        </w:tc>
        <w:tc>
          <w:tcPr>
            <w:tcW w:type="dxa" w:w="2542"/>
            <w:vAlign w:val="top"/>
          </w:tcPr>
          <w:p>
            <w:pPr>
              <w:spacing w:after="0"/>
            </w:pPr>
            <w:r>
              <w:rPr>
                <w:sz w:val="12"/>
              </w:rPr>
              <w:t>STAR_VERIFIED_AREA_V1</w:t>
            </w:r>
          </w:p>
        </w:tc>
        <w:tc>
          <w:tcPr>
            <w:tcW w:type="dxa" w:w="2542"/>
            <w:vAlign w:val="top"/>
          </w:tcPr>
          <w:p>
            <w:pPr>
              <w:spacing w:after="0"/>
            </w:pPr>
            <w:r>
              <w:rPr>
                <w:sz w:val="12"/>
              </w:rPr>
              <w:t>A,H,provenance</w:t>
            </w:r>
          </w:p>
        </w:tc>
        <w:tc>
          <w:tcPr>
            <w:tcW w:type="dxa" w:w="2542"/>
            <w:vAlign w:val="top"/>
          </w:tcPr>
          <w:p>
            <w:pPr>
              <w:spacing w:after="0"/>
            </w:pPr>
            <w:r>
              <w:rPr>
                <w:sz w:val="12"/>
              </w:rPr>
              <w:t>A&gt;0; H&gt;0; provenance required</w:t>
            </w:r>
          </w:p>
        </w:tc>
        <w:tc>
          <w:tcPr>
            <w:tcW w:type="dxa" w:w="2542"/>
            <w:vAlign w:val="top"/>
          </w:tcPr>
          <w:p>
            <w:pPr>
              <w:spacing w:after="0"/>
            </w:pPr>
            <w:r>
              <w:rPr>
                <w:sz w:val="12"/>
              </w:rPr>
              <w:t>H</w:t>
            </w:r>
          </w:p>
        </w:tc>
        <w:tc>
          <w:tcPr>
            <w:tcW w:type="dxa" w:w="2542"/>
            <w:vAlign w:val="top"/>
          </w:tcPr>
          <w:p>
            <w:pPr>
              <w:spacing w:after="0"/>
            </w:pPr>
            <w:r>
              <w:rPr>
                <w:sz w:val="12"/>
              </w:rPr>
              <w:t>Ah</w:t>
            </w:r>
          </w:p>
        </w:tc>
      </w:tr>
      <w:tr>
        <w:tc>
          <w:tcPr>
            <w:tcW w:type="dxa" w:w="2542"/>
            <w:vAlign w:val="top"/>
          </w:tcPr>
          <w:p>
            <w:pPr>
              <w:spacing w:after="0"/>
            </w:pPr>
            <w:r>
              <w:rPr>
                <w:sz w:val="12"/>
              </w:rPr>
              <w:t>F09</w:t>
            </w:r>
          </w:p>
        </w:tc>
        <w:tc>
          <w:tcPr>
            <w:tcW w:type="dxa" w:w="2542"/>
            <w:vAlign w:val="top"/>
          </w:tcPr>
          <w:p>
            <w:pPr>
              <w:spacing w:after="0"/>
            </w:pPr>
            <w:r>
              <w:rPr>
                <w:sz w:val="12"/>
              </w:rPr>
              <w:t>POCKET_VERIFIED_AREA_V1</w:t>
            </w:r>
          </w:p>
        </w:tc>
        <w:tc>
          <w:tcPr>
            <w:tcW w:type="dxa" w:w="2542"/>
            <w:vAlign w:val="top"/>
          </w:tcPr>
          <w:p>
            <w:pPr>
              <w:spacing w:after="0"/>
            </w:pPr>
            <w:r>
              <w:rPr>
                <w:sz w:val="12"/>
              </w:rPr>
              <w:t>A,H,provenance</w:t>
            </w:r>
          </w:p>
        </w:tc>
        <w:tc>
          <w:tcPr>
            <w:tcW w:type="dxa" w:w="2542"/>
            <w:vAlign w:val="top"/>
          </w:tcPr>
          <w:p>
            <w:pPr>
              <w:spacing w:after="0"/>
            </w:pPr>
            <w:r>
              <w:rPr>
                <w:sz w:val="12"/>
              </w:rPr>
              <w:t>A&gt;0; H&gt;0; provenance required</w:t>
            </w:r>
          </w:p>
        </w:tc>
        <w:tc>
          <w:tcPr>
            <w:tcW w:type="dxa" w:w="2542"/>
            <w:vAlign w:val="top"/>
          </w:tcPr>
          <w:p>
            <w:pPr>
              <w:spacing w:after="0"/>
            </w:pPr>
            <w:r>
              <w:rPr>
                <w:sz w:val="12"/>
              </w:rPr>
              <w:t>H</w:t>
            </w:r>
          </w:p>
        </w:tc>
        <w:tc>
          <w:tcPr>
            <w:tcW w:type="dxa" w:w="2542"/>
            <w:vAlign w:val="top"/>
          </w:tcPr>
          <w:p>
            <w:pPr>
              <w:spacing w:after="0"/>
            </w:pPr>
            <w:r>
              <w:rPr>
                <w:sz w:val="12"/>
              </w:rPr>
              <w:t>Ah</w:t>
            </w:r>
          </w:p>
        </w:tc>
      </w:tr>
      <w:tr>
        <w:tc>
          <w:tcPr>
            <w:tcW w:type="dxa" w:w="2542"/>
            <w:vAlign w:val="top"/>
          </w:tcPr>
          <w:p>
            <w:pPr>
              <w:spacing w:after="0"/>
            </w:pPr>
            <w:r>
              <w:rPr>
                <w:sz w:val="12"/>
              </w:rPr>
              <w:t>F10</w:t>
            </w:r>
          </w:p>
        </w:tc>
        <w:tc>
          <w:tcPr>
            <w:tcW w:type="dxa" w:w="2542"/>
            <w:vAlign w:val="top"/>
          </w:tcPr>
          <w:p>
            <w:pPr>
              <w:spacing w:after="0"/>
            </w:pPr>
            <w:r>
              <w:rPr>
                <w:sz w:val="12"/>
              </w:rPr>
              <w:t>PERIMETER_VERIFIED_AREA_V1</w:t>
            </w:r>
          </w:p>
        </w:tc>
        <w:tc>
          <w:tcPr>
            <w:tcW w:type="dxa" w:w="2542"/>
            <w:vAlign w:val="top"/>
          </w:tcPr>
          <w:p>
            <w:pPr>
              <w:spacing w:after="0"/>
            </w:pPr>
            <w:r>
              <w:rPr>
                <w:sz w:val="12"/>
              </w:rPr>
              <w:t>A,H,provenance</w:t>
            </w:r>
          </w:p>
        </w:tc>
        <w:tc>
          <w:tcPr>
            <w:tcW w:type="dxa" w:w="2542"/>
            <w:vAlign w:val="top"/>
          </w:tcPr>
          <w:p>
            <w:pPr>
              <w:spacing w:after="0"/>
            </w:pPr>
            <w:r>
              <w:rPr>
                <w:sz w:val="12"/>
              </w:rPr>
              <w:t>A&gt;0; H&gt;0; provenance required</w:t>
            </w:r>
          </w:p>
        </w:tc>
        <w:tc>
          <w:tcPr>
            <w:tcW w:type="dxa" w:w="2542"/>
            <w:vAlign w:val="top"/>
          </w:tcPr>
          <w:p>
            <w:pPr>
              <w:spacing w:after="0"/>
            </w:pPr>
            <w:r>
              <w:rPr>
                <w:sz w:val="12"/>
              </w:rPr>
              <w:t>H</w:t>
            </w:r>
          </w:p>
        </w:tc>
        <w:tc>
          <w:tcPr>
            <w:tcW w:type="dxa" w:w="2542"/>
            <w:vAlign w:val="top"/>
          </w:tcPr>
          <w:p>
            <w:pPr>
              <w:spacing w:after="0"/>
            </w:pPr>
            <w:r>
              <w:rPr>
                <w:sz w:val="12"/>
              </w:rPr>
              <w:t>Ah</w:t>
            </w:r>
          </w:p>
        </w:tc>
      </w:tr>
    </w:tbl>
    <w:p>
      <w:pPr>
        <w:spacing w:after="20"/>
      </w:pPr>
    </w:p>
    <w:p>
      <w:pPr>
        <w:spacing w:after="60"/>
      </w:pPr>
      <w:r>
        <w:t>All dimensions are internal usable dimensions. Formula definitions are platform-governed controlled application data. Organization users cannot submit formula text or redefine a Geometry Family.</w:t>
      </w:r>
    </w:p>
    <w:p>
      <w:pPr>
        <w:pStyle w:val="Heading1"/>
      </w:pPr>
      <w:r>
        <w:t>7. F01 — CYL_TRUNC_CONE_V1</w:t>
      </w:r>
    </w:p>
    <w:p>
      <w:pPr>
        <w:spacing w:after="60"/>
      </w:pPr>
      <w:r>
        <w:t>Parameters: D internal diameter; Hcyl cylindrical body height; Hhop truncated-cone hopper height; d outlet diameter. Constraints: D&gt;0, Hcyl≥0, Hhop&gt;0, 0≤d&lt;D.</w:t>
      </w:r>
    </w:p>
    <w:p>
      <w:pPr>
        <w:spacing w:after="80"/>
        <w:ind w:left="216"/>
      </w:pPr>
      <w:r>
        <w:rPr>
          <w:rFonts w:ascii="Consolas" w:hAnsi="Consolas"/>
          <w:sz w:val="14"/>
        </w:rPr>
        <w:t>R = D / 2</w:t>
        <w:br/>
        <w:t>r = d / 2</w:t>
        <w:br/>
        <w:t>Vhopper = (π × Hhop / 3) × (R² + Rr + r²)</w:t>
        <w:br/>
        <w:t>Vcylinder = πR²Hcyl</w:t>
        <w:br/>
        <w:t>Vmax = Vhopper + Vcylinder</w:t>
        <w:br/>
        <w:br/>
        <w:t>For 0 ≤ h ≤ Hhop:</w:t>
        <w:br/>
        <w:t xml:space="preserve">  radius(h) = r + (R-r) × (h/Hhop)</w:t>
        <w:br/>
        <w:t xml:space="preserve">  V(h) = (πh/3) × [r² + r×radius(h) + radius(h)²]</w:t>
        <w:br/>
        <w:br/>
        <w:t>For Hhop &lt; h ≤ Hhop+Hcyl:</w:t>
        <w:br/>
        <w:t xml:space="preserve">  V(h) = Vhopper + πR²(h-Hhop)</w:t>
      </w:r>
    </w:p>
    <w:p>
      <w:pPr>
        <w:spacing w:after="60"/>
      </w:pPr>
      <w:r>
        <w:t>Boundary invariants: V(0)=0, both branches agree at h=Hhop, and V(Hhop+Hcyl)=Vmax. d=0 is mathematically a true cone but remains the same explicit versioned family contract.</w:t>
      </w:r>
    </w:p>
    <w:p>
      <w:pPr>
        <w:pStyle w:val="Heading1"/>
      </w:pPr>
      <w:r>
        <w:t>8. F02 — CYL_FLAT_V1</w:t>
      </w:r>
    </w:p>
    <w:p>
      <w:pPr>
        <w:spacing w:after="60"/>
      </w:pPr>
      <w:r>
        <w:t>Parameters: D&gt;0, H&gt;0; R=D/2.</w:t>
      </w:r>
    </w:p>
    <w:p>
      <w:pPr>
        <w:spacing w:after="80"/>
        <w:ind w:left="216"/>
      </w:pPr>
      <w:r>
        <w:rPr>
          <w:rFonts w:ascii="Consolas" w:hAnsi="Consolas"/>
          <w:sz w:val="14"/>
        </w:rPr>
        <w:t>Vmax = πR²H</w:t>
        <w:br/>
        <w:t>V(h) = πR²h,  0 ≤ h ≤ H</w:t>
      </w:r>
    </w:p>
    <w:p>
      <w:pPr>
        <w:pStyle w:val="Heading1"/>
      </w:pPr>
      <w:r>
        <w:t>9. F03 — SQUARE_FLAT_V1</w:t>
      </w:r>
    </w:p>
    <w:p>
      <w:pPr>
        <w:spacing w:after="60"/>
      </w:pPr>
      <w:r>
        <w:t>Parameters: internal side a&gt;0, height H&gt;0.</w:t>
      </w:r>
    </w:p>
    <w:p>
      <w:pPr>
        <w:spacing w:after="80"/>
        <w:ind w:left="216"/>
      </w:pPr>
      <w:r>
        <w:rPr>
          <w:rFonts w:ascii="Consolas" w:hAnsi="Consolas"/>
          <w:sz w:val="14"/>
        </w:rPr>
        <w:t>Vmax = a²H</w:t>
        <w:br/>
        <w:t>V(h) = a²h,  0 ≤ h ≤ H</w:t>
      </w:r>
    </w:p>
    <w:p>
      <w:pPr>
        <w:pStyle w:val="Heading1"/>
      </w:pPr>
      <w:r>
        <w:t>10. F04 — RECT_FLAT_V1</w:t>
      </w:r>
    </w:p>
    <w:p>
      <w:pPr>
        <w:spacing w:after="60"/>
      </w:pPr>
      <w:r>
        <w:t>Parameters: internal length L&gt;0, width W&gt;0, height H&gt;0.</w:t>
      </w:r>
    </w:p>
    <w:p>
      <w:pPr>
        <w:spacing w:after="80"/>
        <w:ind w:left="216"/>
      </w:pPr>
      <w:r>
        <w:rPr>
          <w:rFonts w:ascii="Consolas" w:hAnsi="Consolas"/>
          <w:sz w:val="14"/>
        </w:rPr>
        <w:t>Vmax = LWH</w:t>
        <w:br/>
        <w:t>V(h) = LWh,  0 ≤ h ≤ H</w:t>
      </w:r>
    </w:p>
    <w:p>
      <w:pPr>
        <w:pStyle w:val="Heading1"/>
      </w:pPr>
      <w:r>
        <w:t>11. F05 — SQUARE_PYRAMID_HOPPER_V1</w:t>
      </w:r>
    </w:p>
    <w:p>
      <w:pPr>
        <w:spacing w:after="60"/>
      </w:pPr>
      <w:r>
        <w:t>V6 interpretation: square vertical prism above an inverted square pyramidal hopper terminating at an apex. Parameters: a&gt;0, Hbody≥0, Hhop&gt;0. Origin is the hopper apex.</w:t>
      </w:r>
    </w:p>
    <w:p>
      <w:pPr>
        <w:spacing w:after="80"/>
        <w:ind w:left="216"/>
      </w:pPr>
      <w:r>
        <w:rPr>
          <w:rFonts w:ascii="Consolas" w:hAnsi="Consolas"/>
          <w:sz w:val="14"/>
        </w:rPr>
        <w:t>Vhopper = a²Hhop / 3</w:t>
        <w:br/>
        <w:t>Vmax = Vhopper + a²Hbody</w:t>
        <w:br/>
        <w:br/>
        <w:t>For 0 ≤ h ≤ Hhop:</w:t>
        <w:br/>
        <w:t xml:space="preserve">  a(h) = a × h/Hhop</w:t>
        <w:br/>
        <w:t xml:space="preserve">  V(h) = a²h³ / (3Hhop²)</w:t>
        <w:br/>
        <w:br/>
        <w:t>For Hhop &lt; h ≤ Hhop+Hbody:</w:t>
        <w:br/>
        <w:t xml:space="preserve">  V(h) = Vhopper + a²(h-Hhop)</w:t>
      </w:r>
    </w:p>
    <w:p>
      <w:pPr>
        <w:spacing w:after="60"/>
      </w:pPr>
      <w:r>
        <w:t>The family is apex-only in V6. A non-zero outlet, square pyramidal frustum or other hopper interpretation is not inferred and requires a new explicitly versioned contract.</w:t>
      </w:r>
    </w:p>
    <w:p>
      <w:pPr>
        <w:pStyle w:val="Heading1"/>
      </w:pPr>
      <w:r>
        <w:t>12. F06 — RECT_PYRAMID_HOPPER_V1</w:t>
      </w:r>
    </w:p>
    <w:p>
      <w:pPr>
        <w:spacing w:after="60"/>
      </w:pPr>
      <w:r>
        <w:t>V6 interpretation: rectangular vertical prism above an inverted rectangular pyramidal hopper terminating at an apex. Parameters: L&gt;0, W&gt;0, Hbody≥0, Hhop&gt;0. Origin is the hopper apex.</w:t>
      </w:r>
    </w:p>
    <w:p>
      <w:pPr>
        <w:spacing w:after="80"/>
        <w:ind w:left="216"/>
      </w:pPr>
      <w:r>
        <w:rPr>
          <w:rFonts w:ascii="Consolas" w:hAnsi="Consolas"/>
          <w:sz w:val="14"/>
        </w:rPr>
        <w:t>Vhopper = LWHhop / 3</w:t>
        <w:br/>
        <w:t>Vmax = Vhopper + LWHbody</w:t>
        <w:br/>
        <w:br/>
        <w:t>For 0 ≤ h ≤ Hhop:</w:t>
        <w:br/>
        <w:t xml:space="preserve">  L(h) = L × h/Hhop</w:t>
        <w:br/>
        <w:t xml:space="preserve">  W(h) = W × h/Hhop</w:t>
        <w:br/>
        <w:t xml:space="preserve">  V(h) = LWh³ / (3Hhop²)</w:t>
        <w:br/>
        <w:br/>
        <w:t>For Hhop &lt; h ≤ Hhop+Hbody:</w:t>
        <w:br/>
        <w:t xml:space="preserve">  V(h) = Vhopper + LW(h-Hhop)</w:t>
      </w:r>
    </w:p>
    <w:p>
      <w:pPr>
        <w:spacing w:after="60"/>
      </w:pPr>
      <w:r>
        <w:t>The family is apex-only in V6. Rectangular frustum, eccentric and wedge variants require a new explicitly versioned contract.</w:t>
      </w:r>
    </w:p>
    <w:p>
      <w:pPr>
        <w:pStyle w:val="Heading1"/>
      </w:pPr>
      <w:r>
        <w:t>13. F07 — REG_HEX_FLAT_V1</w:t>
      </w:r>
    </w:p>
    <w:p>
      <w:pPr>
        <w:spacing w:after="60"/>
      </w:pPr>
      <w:r>
        <w:t>Parameters: internal regular-hexagon side length s&gt;0, height H&gt;0. V6 deliberately uses side length as the primary cross-section dimension so across-flats/apothem/diameter interpretations cannot be mixed within the same schema version.</w:t>
      </w:r>
    </w:p>
    <w:p>
      <w:pPr>
        <w:spacing w:after="80"/>
        <w:ind w:left="216"/>
      </w:pPr>
      <w:r>
        <w:rPr>
          <w:rFonts w:ascii="Consolas" w:hAnsi="Consolas"/>
          <w:sz w:val="14"/>
        </w:rPr>
        <w:t>Ahex = (3√3 / 2) × s²</w:t>
        <w:br/>
        <w:t>Vmax = Ahex × H</w:t>
        <w:br/>
        <w:t>V(h) = Ahex × h,  0 ≤ h ≤ H</w:t>
      </w:r>
    </w:p>
    <w:p>
      <w:pPr>
        <w:spacing w:after="60"/>
      </w:pPr>
      <w:r>
        <w:t>F07 is flat-bottom constant-section. A hexagonal hopper/composite form requires another controlled family/formula version.</w:t>
      </w:r>
    </w:p>
    <w:p>
      <w:pPr>
        <w:pStyle w:val="Heading1"/>
      </w:pPr>
      <w:r>
        <w:t>14. F08–F10 — verified constant-area families</w:t>
      </w:r>
    </w:p>
    <w:p>
      <w:pPr>
        <w:spacing w:after="60"/>
      </w:pPr>
      <w:r>
        <w:t>F08 STAR_VERIFIED_AREA_V1, F09 POCKET_VERIFIED_AREA_V1, and F10 PERIMETER_VERIFIED_AREA_V1 retain distinct family identities but share one mathematical V6 strategy.</w:t>
      </w:r>
    </w:p>
    <w:p>
      <w:pPr>
        <w:spacing w:after="60"/>
      </w:pPr>
      <w:r>
        <w:t>Parameters: verified horizontal cross-sectional area A&gt;0, height H&gt;0, and mandatory approved area provenance.</w:t>
      </w:r>
    </w:p>
    <w:p>
      <w:pPr>
        <w:spacing w:after="80"/>
        <w:ind w:left="216"/>
      </w:pPr>
      <w:r>
        <w:rPr>
          <w:rFonts w:ascii="Consolas" w:hAnsi="Consolas"/>
          <w:sz w:val="14"/>
        </w:rPr>
        <w:t>Vmax = A × H</w:t>
        <w:br/>
        <w:t>V(h) = A × h,  0 ≤ h ≤ H</w:t>
      </w:r>
    </w:p>
    <w:p>
      <w:pPr>
        <w:spacing w:after="60"/>
      </w:pPr>
      <w:r>
        <w:t>Accepted provenance is a traceable approved source such as a certified drawing, engineering calculation, surveyed/as-built value or equivalent approved reference. These families are invalid where the actual horizontal cross-section varies with height. V6 does not invent arm counts, radii, neighboring-cell geometry or another universal parametric formula.</w:t>
      </w:r>
    </w:p>
    <w:p>
      <w:pPr>
        <w:pStyle w:val="Heading1"/>
      </w:pPr>
      <w:r>
        <w:t>15. Maximum Capacity</w:t>
      </w:r>
    </w:p>
    <w:p>
      <w:pPr>
        <w:spacing w:after="60"/>
      </w:pPr>
      <w:r>
        <w:t>maxCapacityM3 is a deterministic property of GeometryProfileVersion:</w:t>
      </w:r>
    </w:p>
    <w:p>
      <w:pPr>
        <w:spacing w:after="80"/>
        <w:ind w:left="216"/>
      </w:pPr>
      <w:r>
        <w:rPr>
          <w:rFonts w:ascii="Consolas" w:hAnsi="Consolas"/>
          <w:sz w:val="14"/>
        </w:rPr>
        <w:t>maxCapacityM3 = V_family(maximumFillHeightM)</w:t>
      </w:r>
    </w:p>
    <w:p>
      <w:pPr>
        <w:spacing w:after="60"/>
      </w:pPr>
      <w:r>
        <w:t>Changing any calculation-affecting dimension, datum or family interpretation creates a new immutable GeometryProfileVersion. Existing launched Campaigns and historical results remain pinned to the frozen version.</w:t>
      </w:r>
    </w:p>
    <w:p>
      <w:pPr>
        <w:pStyle w:val="Heading1"/>
      </w:pPr>
      <w:r>
        <w:t>16. Quantity Engine</w:t>
      </w:r>
    </w:p>
    <w:p>
      <w:pPr>
        <w:spacing w:after="60"/>
      </w:pPr>
      <w:r>
        <w:t>For non-empty stocktaking, Actual Bulk Density is mandatory and must be positive. Supported V6 density input units are kg/m³ and kg/hl.</w:t>
      </w:r>
    </w:p>
    <w:p>
      <w:pPr>
        <w:spacing w:after="80"/>
        <w:ind w:left="216"/>
      </w:pPr>
      <w:r>
        <w:rPr>
          <w:rFonts w:ascii="Consolas" w:hAnsi="Consolas"/>
          <w:sz w:val="14"/>
        </w:rPr>
        <w:t>ρkg/m3 = entered density, when unit = kg/m³</w:t>
        <w:br/>
        <w:t>ρkg/m3 = entered density × 10, when unit = kg/hl</w:t>
        <w:br/>
        <w:t>Mkg = ProductVolumeM3 × ρkg/m3</w:t>
      </w:r>
    </w:p>
    <w:p>
      <w:pPr>
        <w:spacing w:after="60"/>
      </w:pPr>
      <w:r>
        <w:t>Reference Test Weight may support reference/plausibility UX but never fills a missing Actual Bulk Density automatically. Moisture and Impurities do not correct quantity in V6. Tonnes are a display/export adapter (t = kg/1000); canonical calculated quantity remains kg.</w:t>
      </w:r>
    </w:p>
    <w:p>
      <w:pPr>
        <w:pStyle w:val="Heading1"/>
      </w:pPr>
      <w:r>
        <w:t>17. Mark Empty</w:t>
      </w:r>
    </w:p>
    <w:p>
      <w:pPr>
        <w:spacing w:after="60"/>
      </w:pPr>
      <w:r>
        <w:t>Mark Empty is a workflow action, not a degenerate non-empty formula call. A successful Mark Empty revision is Validated with isEmpty=true, ProductVolumeM3=0 and PhysicalQuantityKg=0. Measurements, Commodity, Actual Bulk Density, Ownership and Client are not required for that path. Notes/evidence may remain under their frozen workflow rules.</w:t>
      </w:r>
    </w:p>
    <w:p>
      <w:pPr>
        <w:pStyle w:val="Heading1"/>
      </w:pPr>
      <w:r>
        <w:t>18. Numeric precision and rounding</w:t>
      </w:r>
    </w:p>
    <w:p>
      <w:pPr>
        <w:pStyle w:val="ListBullet"/>
        <w:spacing w:after="20"/>
      </w:pPr>
      <w:r>
        <w:t>All formulas execute after normalization to SI.</w:t>
      </w:r>
    </w:p>
    <w:p>
      <w:pPr>
        <w:pStyle w:val="ListBullet"/>
        <w:spacing w:after="20"/>
      </w:pPr>
      <w:r>
        <w:t>Intermediate processing uses at least 15 significant decimal digits.</w:t>
      </w:r>
    </w:p>
    <w:p>
      <w:pPr>
        <w:pStyle w:val="ListBullet"/>
        <w:spacing w:after="20"/>
      </w:pPr>
      <w:r>
        <w:t>No intermediate rounding.</w:t>
      </w:r>
    </w:p>
    <w:p>
      <w:pPr>
        <w:pStyle w:val="ListBullet"/>
        <w:spacing w:after="20"/>
      </w:pPr>
      <w:r>
        <w:t>π and √3 use deterministic documented mathematical implementations; rounded literals such as 3.14 or 1.732 are prohibited.</w:t>
      </w:r>
    </w:p>
    <w:p>
      <w:pPr>
        <w:pStyle w:val="ListBullet"/>
        <w:spacing w:after="20"/>
      </w:pPr>
      <w:r>
        <w:t>Persistence values governed by this contract use scale 6 with ROUND_HALF_UP; PostgreSQL uses NUMERIC(20,6) where applicable.</w:t>
      </w:r>
    </w:p>
    <w:p>
      <w:pPr>
        <w:pStyle w:val="ListBullet"/>
        <w:spacing w:after="20"/>
      </w:pPr>
      <w:r>
        <w:t>Display formatting, including two-decimal geometry presentation in UI, never feeds back into calculation.</w:t>
      </w:r>
    </w:p>
    <w:p>
      <w:pPr>
        <w:pStyle w:val="Heading1"/>
      </w:pPr>
      <w:r>
        <w:t>19. Validation and failure semantics</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Error code</w:t>
            </w:r>
          </w:p>
        </w:tc>
        <w:tc>
          <w:tcPr>
            <w:tcW w:type="dxa" w:w="7625"/>
            <w:shd w:fill="D9EAF7"/>
          </w:tcPr>
          <w:p>
            <w:r>
              <w:rPr>
                <w:b/>
                <w:sz w:val="14"/>
              </w:rPr>
              <w:t>Blocking condition</w:t>
            </w:r>
          </w:p>
        </w:tc>
      </w:tr>
      <w:tr>
        <w:tc>
          <w:tcPr>
            <w:tcW w:type="dxa" w:w="7625"/>
            <w:vAlign w:val="top"/>
          </w:tcPr>
          <w:p>
            <w:pPr>
              <w:spacing w:after="0"/>
            </w:pPr>
            <w:r>
              <w:rPr>
                <w:sz w:val="13"/>
              </w:rPr>
              <w:t>GEOM_MEASUREMENT_COUNT</w:t>
            </w:r>
          </w:p>
        </w:tc>
        <w:tc>
          <w:tcPr>
            <w:tcW w:type="dxa" w:w="7625"/>
            <w:vAlign w:val="top"/>
          </w:tcPr>
          <w:p>
            <w:pPr>
              <w:spacing w:after="0"/>
            </w:pPr>
            <w:r>
              <w:rPr>
                <w:sz w:val="13"/>
              </w:rPr>
              <w:t>Reading count outside 1..5.</w:t>
            </w:r>
          </w:p>
        </w:tc>
      </w:tr>
      <w:tr>
        <w:tc>
          <w:tcPr>
            <w:tcW w:type="dxa" w:w="7625"/>
            <w:vAlign w:val="top"/>
          </w:tcPr>
          <w:p>
            <w:pPr>
              <w:spacing w:after="0"/>
            </w:pPr>
            <w:r>
              <w:rPr>
                <w:sz w:val="13"/>
              </w:rPr>
              <w:t>GEOM_INVALID_ULLAGE</w:t>
            </w:r>
          </w:p>
        </w:tc>
        <w:tc>
          <w:tcPr>
            <w:tcW w:type="dxa" w:w="7625"/>
            <w:vAlign w:val="top"/>
          </w:tcPr>
          <w:p>
            <w:pPr>
              <w:spacing w:after="0"/>
            </w:pPr>
            <w:r>
              <w:rPr>
                <w:sz w:val="13"/>
              </w:rPr>
              <w:t>Negative ullage or ullage above measurement reference height.</w:t>
            </w:r>
          </w:p>
        </w:tc>
      </w:tr>
      <w:tr>
        <w:tc>
          <w:tcPr>
            <w:tcW w:type="dxa" w:w="7625"/>
            <w:vAlign w:val="top"/>
          </w:tcPr>
          <w:p>
            <w:pPr>
              <w:spacing w:after="0"/>
            </w:pPr>
            <w:r>
              <w:rPr>
                <w:sz w:val="13"/>
              </w:rPr>
              <w:t>GEOM_MIXED_DATUM</w:t>
            </w:r>
          </w:p>
        </w:tc>
        <w:tc>
          <w:tcPr>
            <w:tcW w:type="dxa" w:w="7625"/>
            <w:vAlign w:val="top"/>
          </w:tcPr>
          <w:p>
            <w:pPr>
              <w:spacing w:after="0"/>
            </w:pPr>
            <w:r>
              <w:rPr>
                <w:sz w:val="13"/>
              </w:rPr>
              <w:t>Readings do not share the same frozen datum/reference.</w:t>
            </w:r>
          </w:p>
        </w:tc>
      </w:tr>
      <w:tr>
        <w:tc>
          <w:tcPr>
            <w:tcW w:type="dxa" w:w="7625"/>
            <w:vAlign w:val="top"/>
          </w:tcPr>
          <w:p>
            <w:pPr>
              <w:spacing w:after="0"/>
            </w:pPr>
            <w:r>
              <w:rPr>
                <w:sz w:val="13"/>
              </w:rPr>
              <w:t>GEOM_MIXED_PROFILE_VERSION</w:t>
            </w:r>
          </w:p>
        </w:tc>
        <w:tc>
          <w:tcPr>
            <w:tcW w:type="dxa" w:w="7625"/>
            <w:vAlign w:val="top"/>
          </w:tcPr>
          <w:p>
            <w:pPr>
              <w:spacing w:after="0"/>
            </w:pPr>
            <w:r>
              <w:rPr>
                <w:sz w:val="13"/>
              </w:rPr>
              <w:t>Readings do not share the same GeometryProfileVersion.</w:t>
            </w:r>
          </w:p>
        </w:tc>
      </w:tr>
      <w:tr>
        <w:tc>
          <w:tcPr>
            <w:tcW w:type="dxa" w:w="7625"/>
            <w:vAlign w:val="top"/>
          </w:tcPr>
          <w:p>
            <w:pPr>
              <w:spacing w:after="0"/>
            </w:pPr>
            <w:r>
              <w:rPr>
                <w:sz w:val="13"/>
              </w:rPr>
              <w:t>GEOM_UNSUPPORTED_MEASUREMENT_TYPE</w:t>
            </w:r>
          </w:p>
        </w:tc>
        <w:tc>
          <w:tcPr>
            <w:tcW w:type="dxa" w:w="7625"/>
            <w:vAlign w:val="top"/>
          </w:tcPr>
          <w:p>
            <w:pPr>
              <w:spacing w:after="0"/>
            </w:pPr>
            <w:r>
              <w:rPr>
                <w:sz w:val="13"/>
              </w:rPr>
              <w:t>Measurement type is not V6 ULLAGE.</w:t>
            </w:r>
          </w:p>
        </w:tc>
      </w:tr>
      <w:tr>
        <w:tc>
          <w:tcPr>
            <w:tcW w:type="dxa" w:w="7625"/>
            <w:vAlign w:val="top"/>
          </w:tcPr>
          <w:p>
            <w:pPr>
              <w:spacing w:after="0"/>
            </w:pPr>
            <w:r>
              <w:rPr>
                <w:sz w:val="13"/>
              </w:rPr>
              <w:t>GEOM_FILL_OUT_OF_RANGE</w:t>
            </w:r>
          </w:p>
        </w:tc>
        <w:tc>
          <w:tcPr>
            <w:tcW w:type="dxa" w:w="7625"/>
            <w:vAlign w:val="top"/>
          </w:tcPr>
          <w:p>
            <w:pPr>
              <w:spacing w:after="0"/>
            </w:pPr>
            <w:r>
              <w:rPr>
                <w:sz w:val="13"/>
              </w:rPr>
              <w:t>Derived fill height is outside [0, maximumFillHeightM].</w:t>
            </w:r>
          </w:p>
        </w:tc>
      </w:tr>
      <w:tr>
        <w:tc>
          <w:tcPr>
            <w:tcW w:type="dxa" w:w="7625"/>
            <w:vAlign w:val="top"/>
          </w:tcPr>
          <w:p>
            <w:pPr>
              <w:spacing w:after="0"/>
            </w:pPr>
            <w:r>
              <w:rPr>
                <w:sz w:val="13"/>
              </w:rPr>
              <w:t>GEOM_INVALID_PARAMETER</w:t>
            </w:r>
          </w:p>
        </w:tc>
        <w:tc>
          <w:tcPr>
            <w:tcW w:type="dxa" w:w="7625"/>
            <w:vAlign w:val="top"/>
          </w:tcPr>
          <w:p>
            <w:pPr>
              <w:spacing w:after="0"/>
            </w:pPr>
            <w:r>
              <w:rPr>
                <w:sz w:val="13"/>
              </w:rPr>
              <w:t>A family parameter violates its domain.</w:t>
            </w:r>
          </w:p>
        </w:tc>
      </w:tr>
      <w:tr>
        <w:tc>
          <w:tcPr>
            <w:tcW w:type="dxa" w:w="7625"/>
            <w:vAlign w:val="top"/>
          </w:tcPr>
          <w:p>
            <w:pPr>
              <w:spacing w:after="0"/>
            </w:pPr>
            <w:r>
              <w:rPr>
                <w:sz w:val="13"/>
              </w:rPr>
              <w:t>GEOM_OUTLET_GE_DIAMETER</w:t>
            </w:r>
          </w:p>
        </w:tc>
        <w:tc>
          <w:tcPr>
            <w:tcW w:type="dxa" w:w="7625"/>
            <w:vAlign w:val="top"/>
          </w:tcPr>
          <w:p>
            <w:pPr>
              <w:spacing w:after="0"/>
            </w:pPr>
            <w:r>
              <w:rPr>
                <w:sz w:val="13"/>
              </w:rPr>
              <w:t>F01 outlet diameter d is not strictly less than D.</w:t>
            </w:r>
          </w:p>
        </w:tc>
      </w:tr>
      <w:tr>
        <w:tc>
          <w:tcPr>
            <w:tcW w:type="dxa" w:w="7625"/>
            <w:vAlign w:val="top"/>
          </w:tcPr>
          <w:p>
            <w:pPr>
              <w:spacing w:after="0"/>
            </w:pPr>
            <w:r>
              <w:rPr>
                <w:sz w:val="13"/>
              </w:rPr>
              <w:t>GEOM_AREA_PROVENANCE_REQUIRED</w:t>
            </w:r>
          </w:p>
        </w:tc>
        <w:tc>
          <w:tcPr>
            <w:tcW w:type="dxa" w:w="7625"/>
            <w:vAlign w:val="top"/>
          </w:tcPr>
          <w:p>
            <w:pPr>
              <w:spacing w:after="0"/>
            </w:pPr>
            <w:r>
              <w:rPr>
                <w:sz w:val="13"/>
              </w:rPr>
              <w:t>F08–F10 verified area lacks approved provenance.</w:t>
            </w:r>
          </w:p>
        </w:tc>
      </w:tr>
      <w:tr>
        <w:tc>
          <w:tcPr>
            <w:tcW w:type="dxa" w:w="7625"/>
            <w:vAlign w:val="top"/>
          </w:tcPr>
          <w:p>
            <w:pPr>
              <w:spacing w:after="0"/>
            </w:pPr>
            <w:r>
              <w:rPr>
                <w:sz w:val="13"/>
              </w:rPr>
              <w:t>GEOM_VARIABLE_SECTION_NOT_SUPPORTED</w:t>
            </w:r>
          </w:p>
        </w:tc>
        <w:tc>
          <w:tcPr>
            <w:tcW w:type="dxa" w:w="7625"/>
            <w:vAlign w:val="top"/>
          </w:tcPr>
          <w:p>
            <w:pPr>
              <w:spacing w:after="0"/>
            </w:pPr>
            <w:r>
              <w:rPr>
                <w:sz w:val="13"/>
              </w:rPr>
              <w:t>Verified-area family has height-varying cross-section.</w:t>
            </w:r>
          </w:p>
        </w:tc>
      </w:tr>
      <w:tr>
        <w:tc>
          <w:tcPr>
            <w:tcW w:type="dxa" w:w="7625"/>
            <w:vAlign w:val="top"/>
          </w:tcPr>
          <w:p>
            <w:pPr>
              <w:spacing w:after="0"/>
            </w:pPr>
            <w:r>
              <w:rPr>
                <w:sz w:val="13"/>
              </w:rPr>
              <w:t>GEOM_DENSITY_REQUIRED</w:t>
            </w:r>
          </w:p>
        </w:tc>
        <w:tc>
          <w:tcPr>
            <w:tcW w:type="dxa" w:w="7625"/>
            <w:vAlign w:val="top"/>
          </w:tcPr>
          <w:p>
            <w:pPr>
              <w:spacing w:after="0"/>
            </w:pPr>
            <w:r>
              <w:rPr>
                <w:sz w:val="13"/>
              </w:rPr>
              <w:t>Non-empty quantity calculation has no Actual Bulk Density.</w:t>
            </w:r>
          </w:p>
        </w:tc>
      </w:tr>
      <w:tr>
        <w:tc>
          <w:tcPr>
            <w:tcW w:type="dxa" w:w="7625"/>
            <w:vAlign w:val="top"/>
          </w:tcPr>
          <w:p>
            <w:pPr>
              <w:spacing w:after="0"/>
            </w:pPr>
            <w:r>
              <w:rPr>
                <w:sz w:val="13"/>
              </w:rPr>
              <w:t>GEOM_INVALID_DENSITY</w:t>
            </w:r>
          </w:p>
        </w:tc>
        <w:tc>
          <w:tcPr>
            <w:tcW w:type="dxa" w:w="7625"/>
            <w:vAlign w:val="top"/>
          </w:tcPr>
          <w:p>
            <w:pPr>
              <w:spacing w:after="0"/>
            </w:pPr>
            <w:r>
              <w:rPr>
                <w:sz w:val="13"/>
              </w:rPr>
              <w:t>Actual Bulk Density is ≤0 or unit unsupported.</w:t>
            </w:r>
          </w:p>
        </w:tc>
      </w:tr>
      <w:tr>
        <w:tc>
          <w:tcPr>
            <w:tcW w:type="dxa" w:w="7625"/>
            <w:vAlign w:val="top"/>
          </w:tcPr>
          <w:p>
            <w:pPr>
              <w:spacing w:after="0"/>
            </w:pPr>
            <w:r>
              <w:rPr>
                <w:sz w:val="13"/>
              </w:rPr>
              <w:t>GEOM_STALE_RESULT</w:t>
            </w:r>
          </w:p>
        </w:tc>
        <w:tc>
          <w:tcPr>
            <w:tcW w:type="dxa" w:w="7625"/>
            <w:vAlign w:val="top"/>
          </w:tcPr>
          <w:p>
            <w:pPr>
              <w:spacing w:after="0"/>
            </w:pPr>
            <w:r>
              <w:rPr>
                <w:sz w:val="13"/>
              </w:rPr>
              <w:t>Stored CalculationResult fingerprint no longer matches current calculation inputs.</w:t>
            </w:r>
          </w:p>
        </w:tc>
      </w:tr>
      <w:tr>
        <w:tc>
          <w:tcPr>
            <w:tcW w:type="dxa" w:w="7625"/>
            <w:vAlign w:val="top"/>
          </w:tcPr>
          <w:p>
            <w:pPr>
              <w:spacing w:after="0"/>
            </w:pPr>
            <w:r>
              <w:rPr>
                <w:sz w:val="13"/>
              </w:rPr>
              <w:t>GEOM_CALCULATION_MISMATCH</w:t>
            </w:r>
          </w:p>
        </w:tc>
        <w:tc>
          <w:tcPr>
            <w:tcW w:type="dxa" w:w="7625"/>
            <w:vAlign w:val="top"/>
          </w:tcPr>
          <w:p>
            <w:pPr>
              <w:spacing w:after="0"/>
            </w:pPr>
            <w:r>
              <w:rPr>
                <w:sz w:val="13"/>
              </w:rPr>
              <w:t>Client/server Product Volume delta exceeds 0.001 m³ for identical normalized fingerprint.</w:t>
            </w:r>
          </w:p>
        </w:tc>
      </w:tr>
      <w:tr>
        <w:tc>
          <w:tcPr>
            <w:tcW w:type="dxa" w:w="7625"/>
            <w:vAlign w:val="top"/>
          </w:tcPr>
          <w:p>
            <w:pPr>
              <w:spacing w:after="0"/>
            </w:pPr>
            <w:r>
              <w:rPr>
                <w:sz w:val="13"/>
              </w:rPr>
              <w:t>GEOM_VERSION_UNSUPPORTED</w:t>
            </w:r>
          </w:p>
        </w:tc>
        <w:tc>
          <w:tcPr>
            <w:tcW w:type="dxa" w:w="7625"/>
            <w:vAlign w:val="top"/>
          </w:tcPr>
          <w:p>
            <w:pPr>
              <w:spacing w:after="0"/>
            </w:pPr>
            <w:r>
              <w:rPr>
                <w:sz w:val="13"/>
              </w:rPr>
              <w:t>Required frozen formula/schema/engine semantics cannot be reproduced by the executing build.</w:t>
            </w:r>
          </w:p>
        </w:tc>
      </w:tr>
    </w:tbl>
    <w:p>
      <w:pPr>
        <w:spacing w:after="20"/>
      </w:pPr>
    </w:p>
    <w:p>
      <w:pPr>
        <w:spacing w:after="60"/>
      </w:pPr>
      <w:r>
        <w:t>Calculation is integrity-first: missing/ambiguous dimensional interpretation blocks the operation. No automatic clamp, guessed dimension, hidden fallback or silent formula substitution is permitted.</w:t>
      </w:r>
    </w:p>
    <w:p>
      <w:pPr>
        <w:pStyle w:val="Heading1"/>
      </w:pPr>
      <w:r>
        <w:t>20. CalculationResult reproducibility record</w:t>
      </w:r>
    </w:p>
    <w:p>
      <w:pPr>
        <w:spacing w:after="60"/>
      </w:pPr>
      <w:r>
        <w:t>For a non-empty numerical result, persistence/snapshotting must preserve enough data to reproduce and audit the exact result. At minimum:</w:t>
      </w:r>
    </w:p>
    <w:p>
      <w:pPr>
        <w:pStyle w:val="ListBullet"/>
        <w:spacing w:after="20"/>
      </w:pPr>
      <w:r>
        <w:t>StocktakingRevision / Campaign snapshot context and GeometryProfileVersion ID</w:t>
      </w:r>
    </w:p>
    <w:p>
      <w:pPr>
        <w:pStyle w:val="ListBullet"/>
        <w:spacing w:after="20"/>
      </w:pPr>
      <w:r>
        <w:t>Geometry Family identifier; formulaCode and formulaVersion</w:t>
      </w:r>
    </w:p>
    <w:p>
      <w:pPr>
        <w:pStyle w:val="ListBullet"/>
        <w:spacing w:after="20"/>
      </w:pPr>
      <w:r>
        <w:t>inputSchemaVersion; engineVersion; normalizationVersion</w:t>
      </w:r>
    </w:p>
    <w:p>
      <w:pPr>
        <w:pStyle w:val="ListBullet"/>
        <w:spacing w:after="20"/>
      </w:pPr>
      <w:r>
        <w:t>surfaceModelVersion=LEVEL_BASED_V1</w:t>
      </w:r>
    </w:p>
    <w:p>
      <w:pPr>
        <w:pStyle w:val="ListBullet"/>
        <w:spacing w:after="20"/>
      </w:pPr>
      <w:r>
        <w:t>aggregationMethod=MEAN_ULLAGE_V1 and aggregationRuleVersion</w:t>
      </w:r>
    </w:p>
    <w:p>
      <w:pPr>
        <w:pStyle w:val="ListBullet"/>
        <w:spacing w:after="20"/>
      </w:pPr>
      <w:r>
        <w:t>geometry origin, measurementReferenceHeightM and maximumFillHeightM</w:t>
      </w:r>
    </w:p>
    <w:p>
      <w:pPr>
        <w:pStyle w:val="ListBullet"/>
        <w:spacing w:after="20"/>
      </w:pPr>
      <w:r>
        <w:t>all family parameters used, in canonical units</w:t>
      </w:r>
    </w:p>
    <w:p>
      <w:pPr>
        <w:pStyle w:val="ListBullet"/>
        <w:spacing w:after="20"/>
      </w:pPr>
      <w:r>
        <w:t>ordered normalized readings and their sequence numbers</w:t>
      </w:r>
    </w:p>
    <w:p>
      <w:pPr>
        <w:pStyle w:val="ListBullet"/>
        <w:spacing w:after="20"/>
      </w:pPr>
      <w:r>
        <w:t>effectiveUllageM and effectiveFillHeightM</w:t>
      </w:r>
    </w:p>
    <w:p>
      <w:pPr>
        <w:pStyle w:val="ListBullet"/>
        <w:spacing w:after="20"/>
      </w:pPr>
      <w:r>
        <w:t>maxCapacityM3 and currentProductVolumeM3</w:t>
      </w:r>
    </w:p>
    <w:p>
      <w:pPr>
        <w:pStyle w:val="ListBullet"/>
        <w:spacing w:after="20"/>
      </w:pPr>
      <w:r>
        <w:t>entered Actual Bulk Density value/unit and normalizedDensityKgM3</w:t>
      </w:r>
    </w:p>
    <w:p>
      <w:pPr>
        <w:pStyle w:val="ListBullet"/>
        <w:spacing w:after="20"/>
      </w:pPr>
      <w:r>
        <w:t>physicalQuantityKg</w:t>
      </w:r>
    </w:p>
    <w:p>
      <w:pPr>
        <w:pStyle w:val="ListBullet"/>
        <w:spacing w:after="20"/>
      </w:pPr>
      <w:r>
        <w:t>normalizedInputFingerprint</w:t>
      </w:r>
    </w:p>
    <w:p>
      <w:pPr>
        <w:pStyle w:val="ListBullet"/>
        <w:spacing w:after="20"/>
      </w:pPr>
      <w:r>
        <w:t>creation/validation provenance required by the frozen data/audit contracts</w:t>
      </w:r>
    </w:p>
    <w:p>
      <w:pPr>
        <w:spacing w:after="60"/>
      </w:pPr>
      <w:r>
        <w:t>Validated CalculationResult content is immutable. A new working revision creates a new calculation lineage; it does not overwrite the validated historical result.</w:t>
      </w:r>
    </w:p>
    <w:p>
      <w:pPr>
        <w:pStyle w:val="Heading1"/>
      </w:pPr>
      <w:r>
        <w:t>21. Normalized input fingerprint</w:t>
      </w:r>
    </w:p>
    <w:p>
      <w:pPr>
        <w:spacing w:after="60"/>
      </w:pPr>
      <w:r>
        <w:t>The fingerprint is SHA-256 over a canonical deterministic serialization of calculation-affecting normalized values and version identifiers. The serialization must be locale-independent, stable in field ordering, explicit about nullability/units, and must use canonical decimal representations rather than display-formatted strings.</w:t>
      </w:r>
    </w:p>
    <w:p>
      <w:pPr>
        <w:spacing w:after="60"/>
      </w:pPr>
      <w:r>
        <w:t>Minimum fingerprint material:</w:t>
      </w:r>
    </w:p>
    <w:p>
      <w:pPr>
        <w:spacing w:after="80"/>
        <w:ind w:left="216"/>
      </w:pPr>
      <w:r>
        <w:rPr>
          <w:rFonts w:ascii="Consolas" w:hAnsi="Consolas"/>
          <w:sz w:val="14"/>
        </w:rPr>
        <w:t>campaignSnapshotSpaceId / frozen calculation context</w:t>
        <w:br/>
        <w:t>geometryProfileVersionId</w:t>
        <w:br/>
        <w:t>geometryFamilyId + formulaCode + formulaVersion</w:t>
        <w:br/>
        <w:t>inputSchemaVersion + engineVersion + normalizationVersion</w:t>
        <w:br/>
        <w:t>surfaceModelVersion + aggregationMethod + aggregationRuleVersion</w:t>
        <w:br/>
        <w:t>measurementReferenceHeightM + maximumFillHeightM + geometryOrigin</w:t>
        <w:br/>
        <w:t>all normalized fixed geometry inputs</w:t>
        <w:br/>
        <w:t>ordered normalized readings</w:t>
        <w:br/>
        <w:t>entered density value/unit + normalizedDensityKgM3</w:t>
      </w:r>
    </w:p>
    <w:p>
      <w:pPr>
        <w:spacing w:after="60"/>
      </w:pPr>
      <w:r>
        <w:t>Any calculation-relevant change invalidates the prior fingerprint/result. Commodity identity, Ownership and Client are business snapshot data but do not enter the numerical fingerprint unless a future version explicitly makes them alter a numerical input.</w:t>
      </w:r>
    </w:p>
    <w:p>
      <w:pPr>
        <w:pStyle w:val="Heading1"/>
      </w:pPr>
      <w:r>
        <w:t>22. Version semantics</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shd w:fill="D9EAF7"/>
          </w:tcPr>
          <w:p>
            <w:r>
              <w:rPr>
                <w:b/>
                <w:sz w:val="14"/>
              </w:rPr>
              <w:t>Version</w:t>
            </w:r>
          </w:p>
        </w:tc>
        <w:tc>
          <w:tcPr>
            <w:tcW w:type="dxa" w:w="5083"/>
            <w:shd w:fill="D9EAF7"/>
          </w:tcPr>
          <w:p>
            <w:r>
              <w:rPr>
                <w:b/>
                <w:sz w:val="14"/>
              </w:rPr>
              <w:t>Changes when</w:t>
            </w:r>
          </w:p>
        </w:tc>
        <w:tc>
          <w:tcPr>
            <w:tcW w:type="dxa" w:w="5083"/>
            <w:shd w:fill="D9EAF7"/>
          </w:tcPr>
          <w:p>
            <w:r>
              <w:rPr>
                <w:b/>
                <w:sz w:val="14"/>
              </w:rPr>
              <w:t>Does not change merely for</w:t>
            </w:r>
          </w:p>
        </w:tc>
      </w:tr>
      <w:tr>
        <w:tc>
          <w:tcPr>
            <w:tcW w:type="dxa" w:w="5083"/>
            <w:vAlign w:val="top"/>
          </w:tcPr>
          <w:p>
            <w:pPr>
              <w:spacing w:after="0"/>
            </w:pPr>
            <w:r>
              <w:rPr>
                <w:sz w:val="13"/>
              </w:rPr>
              <w:t>geometryProfileVersion</w:t>
            </w:r>
          </w:p>
        </w:tc>
        <w:tc>
          <w:tcPr>
            <w:tcW w:type="dxa" w:w="5083"/>
            <w:vAlign w:val="top"/>
          </w:tcPr>
          <w:p>
            <w:pPr>
              <w:spacing w:after="0"/>
            </w:pPr>
            <w:r>
              <w:rPr>
                <w:sz w:val="13"/>
              </w:rPr>
              <w:t>dimensions, datum or calculation-affecting profile configuration changes</w:t>
            </w:r>
          </w:p>
        </w:tc>
        <w:tc>
          <w:tcPr>
            <w:tcW w:type="dxa" w:w="5083"/>
            <w:vAlign w:val="top"/>
          </w:tcPr>
          <w:p>
            <w:pPr>
              <w:spacing w:after="0"/>
            </w:pPr>
            <w:r>
              <w:rPr>
                <w:sz w:val="13"/>
              </w:rPr>
              <w:t>stock measurement changes</w:t>
            </w:r>
          </w:p>
        </w:tc>
      </w:tr>
      <w:tr>
        <w:tc>
          <w:tcPr>
            <w:tcW w:type="dxa" w:w="5083"/>
            <w:vAlign w:val="top"/>
          </w:tcPr>
          <w:p>
            <w:pPr>
              <w:spacing w:after="0"/>
            </w:pPr>
            <w:r>
              <w:rPr>
                <w:sz w:val="13"/>
              </w:rPr>
              <w:t>formulaVersion</w:t>
            </w:r>
          </w:p>
        </w:tc>
        <w:tc>
          <w:tcPr>
            <w:tcW w:type="dxa" w:w="5083"/>
            <w:vAlign w:val="top"/>
          </w:tcPr>
          <w:p>
            <w:pPr>
              <w:spacing w:after="0"/>
            </w:pPr>
            <w:r>
              <w:rPr>
                <w:sz w:val="13"/>
              </w:rPr>
              <w:t>mathematical formula or branch semantics change</w:t>
            </w:r>
          </w:p>
        </w:tc>
        <w:tc>
          <w:tcPr>
            <w:tcW w:type="dxa" w:w="5083"/>
            <w:vAlign w:val="top"/>
          </w:tcPr>
          <w:p>
            <w:pPr>
              <w:spacing w:after="0"/>
            </w:pPr>
            <w:r>
              <w:rPr>
                <w:sz w:val="13"/>
              </w:rPr>
              <w:t>refactor with numerically identical contract</w:t>
            </w:r>
          </w:p>
        </w:tc>
      </w:tr>
      <w:tr>
        <w:tc>
          <w:tcPr>
            <w:tcW w:type="dxa" w:w="5083"/>
            <w:vAlign w:val="top"/>
          </w:tcPr>
          <w:p>
            <w:pPr>
              <w:spacing w:after="0"/>
            </w:pPr>
            <w:r>
              <w:rPr>
                <w:sz w:val="13"/>
              </w:rPr>
              <w:t>inputSchemaVersion</w:t>
            </w:r>
          </w:p>
        </w:tc>
        <w:tc>
          <w:tcPr>
            <w:tcW w:type="dxa" w:w="5083"/>
            <w:vAlign w:val="top"/>
          </w:tcPr>
          <w:p>
            <w:pPr>
              <w:spacing w:after="0"/>
            </w:pPr>
            <w:r>
              <w:rPr>
                <w:sz w:val="13"/>
              </w:rPr>
              <w:t>required/meaningful formula inputs or their interpretation change</w:t>
            </w:r>
          </w:p>
        </w:tc>
        <w:tc>
          <w:tcPr>
            <w:tcW w:type="dxa" w:w="5083"/>
            <w:vAlign w:val="top"/>
          </w:tcPr>
          <w:p>
            <w:pPr>
              <w:spacing w:after="0"/>
            </w:pPr>
            <w:r>
              <w:rPr>
                <w:sz w:val="13"/>
              </w:rPr>
              <w:t>UI label/layout change</w:t>
            </w:r>
          </w:p>
        </w:tc>
      </w:tr>
      <w:tr>
        <w:tc>
          <w:tcPr>
            <w:tcW w:type="dxa" w:w="5083"/>
            <w:vAlign w:val="top"/>
          </w:tcPr>
          <w:p>
            <w:pPr>
              <w:spacing w:after="0"/>
            </w:pPr>
            <w:r>
              <w:rPr>
                <w:sz w:val="13"/>
              </w:rPr>
              <w:t>engineVersion</w:t>
            </w:r>
          </w:p>
        </w:tc>
        <w:tc>
          <w:tcPr>
            <w:tcW w:type="dxa" w:w="5083"/>
            <w:vAlign w:val="top"/>
          </w:tcPr>
          <w:p>
            <w:pPr>
              <w:spacing w:after="0"/>
            </w:pPr>
            <w:r>
              <w:rPr>
                <w:sz w:val="13"/>
              </w:rPr>
              <w:t>software behavior relevant to numerical reproducibility/certification changes</w:t>
            </w:r>
          </w:p>
        </w:tc>
        <w:tc>
          <w:tcPr>
            <w:tcW w:type="dxa" w:w="5083"/>
            <w:vAlign w:val="top"/>
          </w:tcPr>
          <w:p>
            <w:pPr>
              <w:spacing w:after="0"/>
            </w:pPr>
            <w:r>
              <w:rPr>
                <w:sz w:val="13"/>
              </w:rPr>
              <w:t>pure UI change</w:t>
            </w:r>
          </w:p>
        </w:tc>
      </w:tr>
      <w:tr>
        <w:tc>
          <w:tcPr>
            <w:tcW w:type="dxa" w:w="5083"/>
            <w:vAlign w:val="top"/>
          </w:tcPr>
          <w:p>
            <w:pPr>
              <w:spacing w:after="0"/>
            </w:pPr>
            <w:r>
              <w:rPr>
                <w:sz w:val="13"/>
              </w:rPr>
              <w:t>aggregationRuleVersion</w:t>
            </w:r>
          </w:p>
        </w:tc>
        <w:tc>
          <w:tcPr>
            <w:tcW w:type="dxa" w:w="5083"/>
            <w:vAlign w:val="top"/>
          </w:tcPr>
          <w:p>
            <w:pPr>
              <w:spacing w:after="0"/>
            </w:pPr>
            <w:r>
              <w:rPr>
                <w:sz w:val="13"/>
              </w:rPr>
              <w:t>measurement aggregation semantics change</w:t>
            </w:r>
          </w:p>
        </w:tc>
        <w:tc>
          <w:tcPr>
            <w:tcW w:type="dxa" w:w="5083"/>
            <w:vAlign w:val="top"/>
          </w:tcPr>
          <w:p>
            <w:pPr>
              <w:spacing w:after="0"/>
            </w:pPr>
            <w:r>
              <w:rPr>
                <w:sz w:val="13"/>
              </w:rPr>
              <w:t>different reading values under same rule</w:t>
            </w:r>
          </w:p>
        </w:tc>
      </w:tr>
      <w:tr>
        <w:tc>
          <w:tcPr>
            <w:tcW w:type="dxa" w:w="5083"/>
            <w:vAlign w:val="top"/>
          </w:tcPr>
          <w:p>
            <w:pPr>
              <w:spacing w:after="0"/>
            </w:pPr>
            <w:r>
              <w:rPr>
                <w:sz w:val="13"/>
              </w:rPr>
              <w:t>normalizationVersion</w:t>
            </w:r>
          </w:p>
        </w:tc>
        <w:tc>
          <w:tcPr>
            <w:tcW w:type="dxa" w:w="5083"/>
            <w:vAlign w:val="top"/>
          </w:tcPr>
          <w:p>
            <w:pPr>
              <w:spacing w:after="0"/>
            </w:pPr>
            <w:r>
              <w:rPr>
                <w:sz w:val="13"/>
              </w:rPr>
              <w:t>canonical conversion/normalization semantics change</w:t>
            </w:r>
          </w:p>
        </w:tc>
        <w:tc>
          <w:tcPr>
            <w:tcW w:type="dxa" w:w="5083"/>
            <w:vAlign w:val="top"/>
          </w:tcPr>
          <w:p>
            <w:pPr>
              <w:spacing w:after="0"/>
            </w:pPr>
            <w:r>
              <w:rPr>
                <w:sz w:val="13"/>
              </w:rPr>
              <w:t>display-unit preference only</w:t>
            </w:r>
          </w:p>
        </w:tc>
      </w:tr>
      <w:tr>
        <w:tc>
          <w:tcPr>
            <w:tcW w:type="dxa" w:w="5083"/>
            <w:vAlign w:val="top"/>
          </w:tcPr>
          <w:p>
            <w:pPr>
              <w:spacing w:after="0"/>
            </w:pPr>
            <w:r>
              <w:rPr>
                <w:sz w:val="13"/>
              </w:rPr>
              <w:t>surfaceModelVersion</w:t>
            </w:r>
          </w:p>
        </w:tc>
        <w:tc>
          <w:tcPr>
            <w:tcW w:type="dxa" w:w="5083"/>
            <w:vAlign w:val="top"/>
          </w:tcPr>
          <w:p>
            <w:pPr>
              <w:spacing w:after="0"/>
            </w:pPr>
            <w:r>
              <w:rPr>
                <w:sz w:val="13"/>
              </w:rPr>
              <w:t>surface interpretation changes</w:t>
            </w:r>
          </w:p>
        </w:tc>
        <w:tc>
          <w:tcPr>
            <w:tcW w:type="dxa" w:w="5083"/>
            <w:vAlign w:val="top"/>
          </w:tcPr>
          <w:p>
            <w:pPr>
              <w:spacing w:after="0"/>
            </w:pPr>
            <w:r>
              <w:rPr>
                <w:sz w:val="13"/>
              </w:rPr>
              <w:t>ordinary input value changes</w:t>
            </w:r>
          </w:p>
        </w:tc>
      </w:tr>
    </w:tbl>
    <w:p>
      <w:pPr>
        <w:spacing w:after="20"/>
      </w:pPr>
    </w:p>
    <w:p>
      <w:pPr>
        <w:spacing w:after="60"/>
      </w:pPr>
      <w:r>
        <w:t>Historical results identify the exact versions used. New versions never silently reinterpret old results.</w:t>
      </w:r>
    </w:p>
    <w:p>
      <w:pPr>
        <w:pStyle w:val="Heading1"/>
      </w:pPr>
      <w:r>
        <w:t>23. Offline calculation and server verification</w:t>
      </w:r>
    </w:p>
    <w:p>
      <w:pPr>
        <w:spacing w:after="60"/>
      </w:pPr>
      <w:r>
        <w:t>Android calculates immediately from the frozen Campaign/GeometryProfileVersion working set using the same V6 formula and normalization semantics as the server. Sync does not make the server blindly trust a client result: the authoritative side can recalculate/verify from the frozen normalized inputs and versions.</w:t>
      </w:r>
    </w:p>
    <w:p>
      <w:pPr>
        <w:spacing w:after="60"/>
      </w:pPr>
      <w:r>
        <w:t>For identical normalized fingerprint:</w:t>
      </w:r>
    </w:p>
    <w:p>
      <w:pPr>
        <w:pStyle w:val="ListBullet"/>
        <w:spacing w:after="20"/>
      </w:pPr>
      <w:r>
        <w:t>absolute Product Volume delta ≤ 0.001 m³: verification may accept the server-authoritative normalized result and record verification metadata;</w:t>
      </w:r>
    </w:p>
    <w:p>
      <w:pPr>
        <w:pStyle w:val="ListBullet"/>
        <w:spacing w:after="20"/>
      </w:pPr>
      <w:r>
        <w:t>delta &gt; 0.001 m³: raise GEOM_CALCULATION_MISMATCH; never silently overwrite validated local evidence/history.</w:t>
      </w:r>
    </w:p>
    <w:p>
      <w:pPr>
        <w:spacing w:after="60"/>
      </w:pPr>
      <w:r>
        <w:t>The 0.001 m³ threshold is a cross-engine verification tolerance only. It never legalizes an invalid dimension, fill height or other domain input.</w:t>
      </w:r>
    </w:p>
    <w:p>
      <w:pPr>
        <w:spacing w:after="60"/>
      </w:pPr>
      <w:r>
        <w:t>A mobile/server release must remain compatible with frozen versions it is allowed to process. If the required frozen semantics cannot be reproduced, calculation/validation blocks with GEOM_VERSION_UNSUPPORTED rather than substituting the current formula.</w:t>
      </w:r>
    </w:p>
    <w:p>
      <w:pPr>
        <w:pStyle w:val="Heading1"/>
      </w:pPr>
      <w:r>
        <w:t>24. Historical reproducibility</w:t>
      </w:r>
    </w:p>
    <w:p>
      <w:pPr>
        <w:spacing w:after="60"/>
      </w:pPr>
      <w:r>
        <w:t>Historical calculations are never recalculated from current Geometry Profile, Commodity reference data or other mutable master data. Reproduction uses the frozen calculation inputs and pinned version identifiers. Formula handlers needed for retained history must remain reproducible for the applicable retention period, or an equivalent verified reproduction mechanism must exist.</w:t>
      </w:r>
    </w:p>
    <w:p>
      <w:pPr>
        <w:spacing w:after="60"/>
      </w:pPr>
      <w:r>
        <w:t>FinalInventorySnapshot stores the frozen values required by its V6 contract; reporting reads the immutable historical result/snapshot and must not re-run today's engine against old measurements.</w:t>
      </w:r>
    </w:p>
    <w:p>
      <w:pPr>
        <w:pStyle w:val="Heading1"/>
      </w:pPr>
      <w:r>
        <w:t>25. Domain architecture contract</w:t>
      </w:r>
    </w:p>
    <w:p>
      <w:pPr>
        <w:spacing w:after="60"/>
      </w:pPr>
      <w:r>
        <w:t>The Calculation Engine is domain-layer logic independent of Compose. UI/ViewModels collect/display state and invoke use cases; they do not implement geometry formulas. Family formulas resolve through a controlled handler registry keyed by frozen family/formula versions. Android and server implementations share the same normative test vectors and version semantics.</w:t>
      </w:r>
    </w:p>
    <w:p>
      <w:pPr>
        <w:spacing w:after="60"/>
      </w:pPr>
      <w:r>
        <w:t>Recommended conceptual interfaces:</w:t>
      </w:r>
    </w:p>
    <w:p>
      <w:pPr>
        <w:spacing w:after="80"/>
        <w:ind w:left="216"/>
      </w:pPr>
      <w:r>
        <w:rPr>
          <w:rFonts w:ascii="Consolas" w:hAnsi="Consolas"/>
          <w:sz w:val="14"/>
        </w:rPr>
        <w:t>GeometryCalculationInput</w:t>
        <w:br/>
        <w:t xml:space="preserve">  frozenProfileVersion</w:t>
        <w:br/>
        <w:t xml:space="preserve">  orderedMeasurements[1..5]</w:t>
        <w:br/>
        <w:t xml:space="preserve">  measurementType</w:t>
        <w:br/>
        <w:t xml:space="preserve">  aggregation/surface/normalization versions</w:t>
        <w:br/>
        <w:br/>
        <w:t>GeometryCalculationResult</w:t>
        <w:br/>
        <w:t xml:space="preserve">  effectiveUllageM</w:t>
        <w:br/>
        <w:t xml:space="preserve">  effectiveFillHeightM</w:t>
        <w:br/>
        <w:t xml:space="preserve">  maxCapacityM3</w:t>
        <w:br/>
        <w:t xml:space="preserve">  currentProductVolumeM3</w:t>
        <w:br/>
        <w:t xml:space="preserve">  formula/schema/engine versions</w:t>
        <w:br/>
        <w:t xml:space="preserve">  normalizedInputFingerprint</w:t>
        <w:br/>
        <w:br/>
        <w:t>QuantityCalculationInput</w:t>
        <w:br/>
        <w:t xml:space="preserve">  currentProductVolumeM3</w:t>
        <w:br/>
        <w:t xml:space="preserve">  actualBulkDensityValue</w:t>
        <w:br/>
        <w:t xml:space="preserve">  actualBulkDensityUnit</w:t>
        <w:br/>
        <w:br/>
        <w:t>QuantityCalculationResult</w:t>
        <w:br/>
        <w:t xml:space="preserve">  normalizedDensityKgM3</w:t>
        <w:br/>
        <w:t xml:space="preserve">  physicalQuantityKg</w:t>
      </w:r>
    </w:p>
    <w:p>
      <w:pPr>
        <w:pStyle w:val="Heading1"/>
      </w:pPr>
      <w:r>
        <w:t>26. Golden vectors — all ten families</w:t>
      </w:r>
    </w:p>
    <w:p>
      <w:pPr>
        <w:spacing w:after="60"/>
      </w:pPr>
      <w:r>
        <w:t>Expected values below are canonical SI values rounded only at the persistence/test assertion boundary to six decimals.</w:t>
      </w:r>
    </w:p>
    <w:tbl>
      <w:tblPr>
        <w:tblStyle w:val="TableGrid"/>
        <w:tblW w:type="auto" w:w="0"/>
        <w:jc w:val="center"/>
        <w:tblLook w:firstColumn="1" w:firstRow="1" w:lastColumn="0" w:lastRow="0" w:noHBand="0" w:noVBand="1" w:val="04A0"/>
      </w:tblPr>
      <w:tblGrid>
        <w:gridCol w:w="3050"/>
        <w:gridCol w:w="3050"/>
        <w:gridCol w:w="3050"/>
        <w:gridCol w:w="3050"/>
        <w:gridCol w:w="3050"/>
      </w:tblGrid>
      <w:tr>
        <w:trPr>
          <w:tblHeader w:val="true"/>
        </w:trPr>
        <w:tc>
          <w:tcPr>
            <w:tcW w:type="dxa" w:w="3050"/>
            <w:shd w:fill="D9EAF7"/>
          </w:tcPr>
          <w:p>
            <w:r>
              <w:rPr>
                <w:b/>
                <w:sz w:val="14"/>
              </w:rPr>
              <w:t>Test</w:t>
            </w:r>
          </w:p>
        </w:tc>
        <w:tc>
          <w:tcPr>
            <w:tcW w:type="dxa" w:w="3050"/>
            <w:shd w:fill="D9EAF7"/>
          </w:tcPr>
          <w:p>
            <w:r>
              <w:rPr>
                <w:b/>
                <w:sz w:val="14"/>
              </w:rPr>
              <w:t>Family</w:t>
            </w:r>
          </w:p>
        </w:tc>
        <w:tc>
          <w:tcPr>
            <w:tcW w:type="dxa" w:w="3050"/>
            <w:shd w:fill="D9EAF7"/>
          </w:tcPr>
          <w:p>
            <w:r>
              <w:rPr>
                <w:b/>
                <w:sz w:val="14"/>
              </w:rPr>
              <w:t>Inputs</w:t>
            </w:r>
          </w:p>
        </w:tc>
        <w:tc>
          <w:tcPr>
            <w:tcW w:type="dxa" w:w="3050"/>
            <w:shd w:fill="D9EAF7"/>
          </w:tcPr>
          <w:p>
            <w:r>
              <w:rPr>
                <w:b/>
                <w:sz w:val="14"/>
              </w:rPr>
              <w:t>Expected Vmax m³</w:t>
            </w:r>
          </w:p>
        </w:tc>
        <w:tc>
          <w:tcPr>
            <w:tcW w:type="dxa" w:w="3050"/>
            <w:shd w:fill="D9EAF7"/>
          </w:tcPr>
          <w:p>
            <w:r>
              <w:rPr>
                <w:b/>
                <w:sz w:val="14"/>
              </w:rPr>
              <w:t>Expected V(h) m³</w:t>
            </w:r>
          </w:p>
        </w:tc>
      </w:tr>
      <w:tr>
        <w:tc>
          <w:tcPr>
            <w:tcW w:type="dxa" w:w="3050"/>
            <w:vAlign w:val="top"/>
          </w:tcPr>
          <w:p>
            <w:pPr>
              <w:spacing w:after="0"/>
            </w:pPr>
            <w:r>
              <w:rPr>
                <w:sz w:val="12"/>
              </w:rPr>
              <w:t>CE-G01</w:t>
            </w:r>
          </w:p>
        </w:tc>
        <w:tc>
          <w:tcPr>
            <w:tcW w:type="dxa" w:w="3050"/>
            <w:vAlign w:val="top"/>
          </w:tcPr>
          <w:p>
            <w:pPr>
              <w:spacing w:after="0"/>
            </w:pPr>
            <w:r>
              <w:rPr>
                <w:sz w:val="12"/>
              </w:rPr>
              <w:t>F01</w:t>
            </w:r>
          </w:p>
        </w:tc>
        <w:tc>
          <w:tcPr>
            <w:tcW w:type="dxa" w:w="3050"/>
            <w:vAlign w:val="top"/>
          </w:tcPr>
          <w:p>
            <w:pPr>
              <w:spacing w:after="0"/>
            </w:pPr>
            <w:r>
              <w:rPr>
                <w:sz w:val="12"/>
              </w:rPr>
              <w:t>D=18; Hcyl=15; Hhop=6; d=0.45; h=17</w:t>
            </w:r>
          </w:p>
        </w:tc>
        <w:tc>
          <w:tcPr>
            <w:tcW w:type="dxa" w:w="3050"/>
            <w:vAlign w:val="top"/>
          </w:tcPr>
          <w:p>
            <w:pPr>
              <w:spacing w:after="0"/>
            </w:pPr>
            <w:r>
              <w:rPr>
                <w:sz w:val="12"/>
              </w:rPr>
              <w:t>4339.014620</w:t>
            </w:r>
          </w:p>
        </w:tc>
        <w:tc>
          <w:tcPr>
            <w:tcW w:type="dxa" w:w="3050"/>
            <w:vAlign w:val="top"/>
          </w:tcPr>
          <w:p>
            <w:pPr>
              <w:spacing w:after="0"/>
            </w:pPr>
            <w:r>
              <w:rPr>
                <w:sz w:val="12"/>
              </w:rPr>
              <w:t>3321.138601</w:t>
            </w:r>
          </w:p>
        </w:tc>
      </w:tr>
      <w:tr>
        <w:tc>
          <w:tcPr>
            <w:tcW w:type="dxa" w:w="3050"/>
            <w:vAlign w:val="top"/>
          </w:tcPr>
          <w:p>
            <w:pPr>
              <w:spacing w:after="0"/>
            </w:pPr>
            <w:r>
              <w:rPr>
                <w:sz w:val="12"/>
              </w:rPr>
              <w:t>CE-G02</w:t>
            </w:r>
          </w:p>
        </w:tc>
        <w:tc>
          <w:tcPr>
            <w:tcW w:type="dxa" w:w="3050"/>
            <w:vAlign w:val="top"/>
          </w:tcPr>
          <w:p>
            <w:pPr>
              <w:spacing w:after="0"/>
            </w:pPr>
            <w:r>
              <w:rPr>
                <w:sz w:val="12"/>
              </w:rPr>
              <w:t>F02</w:t>
            </w:r>
          </w:p>
        </w:tc>
        <w:tc>
          <w:tcPr>
            <w:tcW w:type="dxa" w:w="3050"/>
            <w:vAlign w:val="top"/>
          </w:tcPr>
          <w:p>
            <w:pPr>
              <w:spacing w:after="0"/>
            </w:pPr>
            <w:r>
              <w:rPr>
                <w:sz w:val="12"/>
              </w:rPr>
              <w:t>D=10; H=20; h=15</w:t>
            </w:r>
          </w:p>
        </w:tc>
        <w:tc>
          <w:tcPr>
            <w:tcW w:type="dxa" w:w="3050"/>
            <w:vAlign w:val="top"/>
          </w:tcPr>
          <w:p>
            <w:pPr>
              <w:spacing w:after="0"/>
            </w:pPr>
            <w:r>
              <w:rPr>
                <w:sz w:val="12"/>
              </w:rPr>
              <w:t>1570.796327</w:t>
            </w:r>
          </w:p>
        </w:tc>
        <w:tc>
          <w:tcPr>
            <w:tcW w:type="dxa" w:w="3050"/>
            <w:vAlign w:val="top"/>
          </w:tcPr>
          <w:p>
            <w:pPr>
              <w:spacing w:after="0"/>
            </w:pPr>
            <w:r>
              <w:rPr>
                <w:sz w:val="12"/>
              </w:rPr>
              <w:t>1178.097245</w:t>
            </w:r>
          </w:p>
        </w:tc>
      </w:tr>
      <w:tr>
        <w:tc>
          <w:tcPr>
            <w:tcW w:type="dxa" w:w="3050"/>
            <w:vAlign w:val="top"/>
          </w:tcPr>
          <w:p>
            <w:pPr>
              <w:spacing w:after="0"/>
            </w:pPr>
            <w:r>
              <w:rPr>
                <w:sz w:val="12"/>
              </w:rPr>
              <w:t>CE-G03</w:t>
            </w:r>
          </w:p>
        </w:tc>
        <w:tc>
          <w:tcPr>
            <w:tcW w:type="dxa" w:w="3050"/>
            <w:vAlign w:val="top"/>
          </w:tcPr>
          <w:p>
            <w:pPr>
              <w:spacing w:after="0"/>
            </w:pPr>
            <w:r>
              <w:rPr>
                <w:sz w:val="12"/>
              </w:rPr>
              <w:t>F03</w:t>
            </w:r>
          </w:p>
        </w:tc>
        <w:tc>
          <w:tcPr>
            <w:tcW w:type="dxa" w:w="3050"/>
            <w:vAlign w:val="top"/>
          </w:tcPr>
          <w:p>
            <w:pPr>
              <w:spacing w:after="0"/>
            </w:pPr>
            <w:r>
              <w:rPr>
                <w:sz w:val="12"/>
              </w:rPr>
              <w:t>a=6; H=20; h=18</w:t>
            </w:r>
          </w:p>
        </w:tc>
        <w:tc>
          <w:tcPr>
            <w:tcW w:type="dxa" w:w="3050"/>
            <w:vAlign w:val="top"/>
          </w:tcPr>
          <w:p>
            <w:pPr>
              <w:spacing w:after="0"/>
            </w:pPr>
            <w:r>
              <w:rPr>
                <w:sz w:val="12"/>
              </w:rPr>
              <w:t>720.000000</w:t>
            </w:r>
          </w:p>
        </w:tc>
        <w:tc>
          <w:tcPr>
            <w:tcW w:type="dxa" w:w="3050"/>
            <w:vAlign w:val="top"/>
          </w:tcPr>
          <w:p>
            <w:pPr>
              <w:spacing w:after="0"/>
            </w:pPr>
            <w:r>
              <w:rPr>
                <w:sz w:val="12"/>
              </w:rPr>
              <w:t>648.000000</w:t>
            </w:r>
          </w:p>
        </w:tc>
      </w:tr>
      <w:tr>
        <w:tc>
          <w:tcPr>
            <w:tcW w:type="dxa" w:w="3050"/>
            <w:vAlign w:val="top"/>
          </w:tcPr>
          <w:p>
            <w:pPr>
              <w:spacing w:after="0"/>
            </w:pPr>
            <w:r>
              <w:rPr>
                <w:sz w:val="12"/>
              </w:rPr>
              <w:t>CE-G04</w:t>
            </w:r>
          </w:p>
        </w:tc>
        <w:tc>
          <w:tcPr>
            <w:tcW w:type="dxa" w:w="3050"/>
            <w:vAlign w:val="top"/>
          </w:tcPr>
          <w:p>
            <w:pPr>
              <w:spacing w:after="0"/>
            </w:pPr>
            <w:r>
              <w:rPr>
                <w:sz w:val="12"/>
              </w:rPr>
              <w:t>F04</w:t>
            </w:r>
          </w:p>
        </w:tc>
        <w:tc>
          <w:tcPr>
            <w:tcW w:type="dxa" w:w="3050"/>
            <w:vAlign w:val="top"/>
          </w:tcPr>
          <w:p>
            <w:pPr>
              <w:spacing w:after="0"/>
            </w:pPr>
            <w:r>
              <w:rPr>
                <w:sz w:val="12"/>
              </w:rPr>
              <w:t>L=8; W=6; H=24; h=20</w:t>
            </w:r>
          </w:p>
        </w:tc>
        <w:tc>
          <w:tcPr>
            <w:tcW w:type="dxa" w:w="3050"/>
            <w:vAlign w:val="top"/>
          </w:tcPr>
          <w:p>
            <w:pPr>
              <w:spacing w:after="0"/>
            </w:pPr>
            <w:r>
              <w:rPr>
                <w:sz w:val="12"/>
              </w:rPr>
              <w:t>1152.000000</w:t>
            </w:r>
          </w:p>
        </w:tc>
        <w:tc>
          <w:tcPr>
            <w:tcW w:type="dxa" w:w="3050"/>
            <w:vAlign w:val="top"/>
          </w:tcPr>
          <w:p>
            <w:pPr>
              <w:spacing w:after="0"/>
            </w:pPr>
            <w:r>
              <w:rPr>
                <w:sz w:val="12"/>
              </w:rPr>
              <w:t>960.000000</w:t>
            </w:r>
          </w:p>
        </w:tc>
      </w:tr>
      <w:tr>
        <w:tc>
          <w:tcPr>
            <w:tcW w:type="dxa" w:w="3050"/>
            <w:vAlign w:val="top"/>
          </w:tcPr>
          <w:p>
            <w:pPr>
              <w:spacing w:after="0"/>
            </w:pPr>
            <w:r>
              <w:rPr>
                <w:sz w:val="12"/>
              </w:rPr>
              <w:t>CE-G05</w:t>
            </w:r>
          </w:p>
        </w:tc>
        <w:tc>
          <w:tcPr>
            <w:tcW w:type="dxa" w:w="3050"/>
            <w:vAlign w:val="top"/>
          </w:tcPr>
          <w:p>
            <w:pPr>
              <w:spacing w:after="0"/>
            </w:pPr>
            <w:r>
              <w:rPr>
                <w:sz w:val="12"/>
              </w:rPr>
              <w:t>F05</w:t>
            </w:r>
          </w:p>
        </w:tc>
        <w:tc>
          <w:tcPr>
            <w:tcW w:type="dxa" w:w="3050"/>
            <w:vAlign w:val="top"/>
          </w:tcPr>
          <w:p>
            <w:pPr>
              <w:spacing w:after="0"/>
            </w:pPr>
            <w:r>
              <w:rPr>
                <w:sz w:val="12"/>
              </w:rPr>
              <w:t>a=6; Hbody=14; Hhop=6; h=3</w:t>
            </w:r>
          </w:p>
        </w:tc>
        <w:tc>
          <w:tcPr>
            <w:tcW w:type="dxa" w:w="3050"/>
            <w:vAlign w:val="top"/>
          </w:tcPr>
          <w:p>
            <w:pPr>
              <w:spacing w:after="0"/>
            </w:pPr>
            <w:r>
              <w:rPr>
                <w:sz w:val="12"/>
              </w:rPr>
              <w:t>576.000000</w:t>
            </w:r>
          </w:p>
        </w:tc>
        <w:tc>
          <w:tcPr>
            <w:tcW w:type="dxa" w:w="3050"/>
            <w:vAlign w:val="top"/>
          </w:tcPr>
          <w:p>
            <w:pPr>
              <w:spacing w:after="0"/>
            </w:pPr>
            <w:r>
              <w:rPr>
                <w:sz w:val="12"/>
              </w:rPr>
              <w:t>9.000000</w:t>
            </w:r>
          </w:p>
        </w:tc>
      </w:tr>
      <w:tr>
        <w:tc>
          <w:tcPr>
            <w:tcW w:type="dxa" w:w="3050"/>
            <w:vAlign w:val="top"/>
          </w:tcPr>
          <w:p>
            <w:pPr>
              <w:spacing w:after="0"/>
            </w:pPr>
            <w:r>
              <w:rPr>
                <w:sz w:val="12"/>
              </w:rPr>
              <w:t>CE-G06</w:t>
            </w:r>
          </w:p>
        </w:tc>
        <w:tc>
          <w:tcPr>
            <w:tcW w:type="dxa" w:w="3050"/>
            <w:vAlign w:val="top"/>
          </w:tcPr>
          <w:p>
            <w:pPr>
              <w:spacing w:after="0"/>
            </w:pPr>
            <w:r>
              <w:rPr>
                <w:sz w:val="12"/>
              </w:rPr>
              <w:t>F06</w:t>
            </w:r>
          </w:p>
        </w:tc>
        <w:tc>
          <w:tcPr>
            <w:tcW w:type="dxa" w:w="3050"/>
            <w:vAlign w:val="top"/>
          </w:tcPr>
          <w:p>
            <w:pPr>
              <w:spacing w:after="0"/>
            </w:pPr>
            <w:r>
              <w:rPr>
                <w:sz w:val="12"/>
              </w:rPr>
              <w:t>L=8; W=6; Hbody=12; Hhop=6; h=9</w:t>
            </w:r>
          </w:p>
        </w:tc>
        <w:tc>
          <w:tcPr>
            <w:tcW w:type="dxa" w:w="3050"/>
            <w:vAlign w:val="top"/>
          </w:tcPr>
          <w:p>
            <w:pPr>
              <w:spacing w:after="0"/>
            </w:pPr>
            <w:r>
              <w:rPr>
                <w:sz w:val="12"/>
              </w:rPr>
              <w:t>672.000000</w:t>
            </w:r>
          </w:p>
        </w:tc>
        <w:tc>
          <w:tcPr>
            <w:tcW w:type="dxa" w:w="3050"/>
            <w:vAlign w:val="top"/>
          </w:tcPr>
          <w:p>
            <w:pPr>
              <w:spacing w:after="0"/>
            </w:pPr>
            <w:r>
              <w:rPr>
                <w:sz w:val="12"/>
              </w:rPr>
              <w:t>240.000000</w:t>
            </w:r>
          </w:p>
        </w:tc>
      </w:tr>
      <w:tr>
        <w:tc>
          <w:tcPr>
            <w:tcW w:type="dxa" w:w="3050"/>
            <w:vAlign w:val="top"/>
          </w:tcPr>
          <w:p>
            <w:pPr>
              <w:spacing w:after="0"/>
            </w:pPr>
            <w:r>
              <w:rPr>
                <w:sz w:val="12"/>
              </w:rPr>
              <w:t>CE-G07</w:t>
            </w:r>
          </w:p>
        </w:tc>
        <w:tc>
          <w:tcPr>
            <w:tcW w:type="dxa" w:w="3050"/>
            <w:vAlign w:val="top"/>
          </w:tcPr>
          <w:p>
            <w:pPr>
              <w:spacing w:after="0"/>
            </w:pPr>
            <w:r>
              <w:rPr>
                <w:sz w:val="12"/>
              </w:rPr>
              <w:t>F07</w:t>
            </w:r>
          </w:p>
        </w:tc>
        <w:tc>
          <w:tcPr>
            <w:tcW w:type="dxa" w:w="3050"/>
            <w:vAlign w:val="top"/>
          </w:tcPr>
          <w:p>
            <w:pPr>
              <w:spacing w:after="0"/>
            </w:pPr>
            <w:r>
              <w:rPr>
                <w:sz w:val="12"/>
              </w:rPr>
              <w:t>s=4; H=20; h=12</w:t>
            </w:r>
          </w:p>
        </w:tc>
        <w:tc>
          <w:tcPr>
            <w:tcW w:type="dxa" w:w="3050"/>
            <w:vAlign w:val="top"/>
          </w:tcPr>
          <w:p>
            <w:pPr>
              <w:spacing w:after="0"/>
            </w:pPr>
            <w:r>
              <w:rPr>
                <w:sz w:val="12"/>
              </w:rPr>
              <w:t>831.384388</w:t>
            </w:r>
          </w:p>
        </w:tc>
        <w:tc>
          <w:tcPr>
            <w:tcW w:type="dxa" w:w="3050"/>
            <w:vAlign w:val="top"/>
          </w:tcPr>
          <w:p>
            <w:pPr>
              <w:spacing w:after="0"/>
            </w:pPr>
            <w:r>
              <w:rPr>
                <w:sz w:val="12"/>
              </w:rPr>
              <w:t>498.830633</w:t>
            </w:r>
          </w:p>
        </w:tc>
      </w:tr>
      <w:tr>
        <w:tc>
          <w:tcPr>
            <w:tcW w:type="dxa" w:w="3050"/>
            <w:vAlign w:val="top"/>
          </w:tcPr>
          <w:p>
            <w:pPr>
              <w:spacing w:after="0"/>
            </w:pPr>
            <w:r>
              <w:rPr>
                <w:sz w:val="12"/>
              </w:rPr>
              <w:t>CE-G08</w:t>
            </w:r>
          </w:p>
        </w:tc>
        <w:tc>
          <w:tcPr>
            <w:tcW w:type="dxa" w:w="3050"/>
            <w:vAlign w:val="top"/>
          </w:tcPr>
          <w:p>
            <w:pPr>
              <w:spacing w:after="0"/>
            </w:pPr>
            <w:r>
              <w:rPr>
                <w:sz w:val="12"/>
              </w:rPr>
              <w:t>F08</w:t>
            </w:r>
          </w:p>
        </w:tc>
        <w:tc>
          <w:tcPr>
            <w:tcW w:type="dxa" w:w="3050"/>
            <w:vAlign w:val="top"/>
          </w:tcPr>
          <w:p>
            <w:pPr>
              <w:spacing w:after="0"/>
            </w:pPr>
            <w:r>
              <w:rPr>
                <w:sz w:val="12"/>
              </w:rPr>
              <w:t>A=30; H=20; h=16</w:t>
            </w:r>
          </w:p>
        </w:tc>
        <w:tc>
          <w:tcPr>
            <w:tcW w:type="dxa" w:w="3050"/>
            <w:vAlign w:val="top"/>
          </w:tcPr>
          <w:p>
            <w:pPr>
              <w:spacing w:after="0"/>
            </w:pPr>
            <w:r>
              <w:rPr>
                <w:sz w:val="12"/>
              </w:rPr>
              <w:t>600.000000</w:t>
            </w:r>
          </w:p>
        </w:tc>
        <w:tc>
          <w:tcPr>
            <w:tcW w:type="dxa" w:w="3050"/>
            <w:vAlign w:val="top"/>
          </w:tcPr>
          <w:p>
            <w:pPr>
              <w:spacing w:after="0"/>
            </w:pPr>
            <w:r>
              <w:rPr>
                <w:sz w:val="12"/>
              </w:rPr>
              <w:t>480.000000</w:t>
            </w:r>
          </w:p>
        </w:tc>
      </w:tr>
      <w:tr>
        <w:tc>
          <w:tcPr>
            <w:tcW w:type="dxa" w:w="3050"/>
            <w:vAlign w:val="top"/>
          </w:tcPr>
          <w:p>
            <w:pPr>
              <w:spacing w:after="0"/>
            </w:pPr>
            <w:r>
              <w:rPr>
                <w:sz w:val="12"/>
              </w:rPr>
              <w:t>CE-G09</w:t>
            </w:r>
          </w:p>
        </w:tc>
        <w:tc>
          <w:tcPr>
            <w:tcW w:type="dxa" w:w="3050"/>
            <w:vAlign w:val="top"/>
          </w:tcPr>
          <w:p>
            <w:pPr>
              <w:spacing w:after="0"/>
            </w:pPr>
            <w:r>
              <w:rPr>
                <w:sz w:val="12"/>
              </w:rPr>
              <w:t>F09</w:t>
            </w:r>
          </w:p>
        </w:tc>
        <w:tc>
          <w:tcPr>
            <w:tcW w:type="dxa" w:w="3050"/>
            <w:vAlign w:val="top"/>
          </w:tcPr>
          <w:p>
            <w:pPr>
              <w:spacing w:after="0"/>
            </w:pPr>
            <w:r>
              <w:rPr>
                <w:sz w:val="12"/>
              </w:rPr>
              <w:t>A=25; H=18; h=14</w:t>
            </w:r>
          </w:p>
        </w:tc>
        <w:tc>
          <w:tcPr>
            <w:tcW w:type="dxa" w:w="3050"/>
            <w:vAlign w:val="top"/>
          </w:tcPr>
          <w:p>
            <w:pPr>
              <w:spacing w:after="0"/>
            </w:pPr>
            <w:r>
              <w:rPr>
                <w:sz w:val="12"/>
              </w:rPr>
              <w:t>450.000000</w:t>
            </w:r>
          </w:p>
        </w:tc>
        <w:tc>
          <w:tcPr>
            <w:tcW w:type="dxa" w:w="3050"/>
            <w:vAlign w:val="top"/>
          </w:tcPr>
          <w:p>
            <w:pPr>
              <w:spacing w:after="0"/>
            </w:pPr>
            <w:r>
              <w:rPr>
                <w:sz w:val="12"/>
              </w:rPr>
              <w:t>350.000000</w:t>
            </w:r>
          </w:p>
        </w:tc>
      </w:tr>
      <w:tr>
        <w:tc>
          <w:tcPr>
            <w:tcW w:type="dxa" w:w="3050"/>
            <w:vAlign w:val="top"/>
          </w:tcPr>
          <w:p>
            <w:pPr>
              <w:spacing w:after="0"/>
            </w:pPr>
            <w:r>
              <w:rPr>
                <w:sz w:val="12"/>
              </w:rPr>
              <w:t>CE-G10</w:t>
            </w:r>
          </w:p>
        </w:tc>
        <w:tc>
          <w:tcPr>
            <w:tcW w:type="dxa" w:w="3050"/>
            <w:vAlign w:val="top"/>
          </w:tcPr>
          <w:p>
            <w:pPr>
              <w:spacing w:after="0"/>
            </w:pPr>
            <w:r>
              <w:rPr>
                <w:sz w:val="12"/>
              </w:rPr>
              <w:t>F10</w:t>
            </w:r>
          </w:p>
        </w:tc>
        <w:tc>
          <w:tcPr>
            <w:tcW w:type="dxa" w:w="3050"/>
            <w:vAlign w:val="top"/>
          </w:tcPr>
          <w:p>
            <w:pPr>
              <w:spacing w:after="0"/>
            </w:pPr>
            <w:r>
              <w:rPr>
                <w:sz w:val="12"/>
              </w:rPr>
              <w:t>A=42.5; H=22; h=19.75</w:t>
            </w:r>
          </w:p>
        </w:tc>
        <w:tc>
          <w:tcPr>
            <w:tcW w:type="dxa" w:w="3050"/>
            <w:vAlign w:val="top"/>
          </w:tcPr>
          <w:p>
            <w:pPr>
              <w:spacing w:after="0"/>
            </w:pPr>
            <w:r>
              <w:rPr>
                <w:sz w:val="12"/>
              </w:rPr>
              <w:t>935.000000</w:t>
            </w:r>
          </w:p>
        </w:tc>
        <w:tc>
          <w:tcPr>
            <w:tcW w:type="dxa" w:w="3050"/>
            <w:vAlign w:val="top"/>
          </w:tcPr>
          <w:p>
            <w:pPr>
              <w:spacing w:after="0"/>
            </w:pPr>
            <w:r>
              <w:rPr>
                <w:sz w:val="12"/>
              </w:rPr>
              <w:t>839.375000</w:t>
            </w:r>
          </w:p>
        </w:tc>
      </w:tr>
    </w:tbl>
    <w:p>
      <w:pPr>
        <w:spacing w:after="20"/>
      </w:pPr>
    </w:p>
    <w:p>
      <w:pPr>
        <w:pStyle w:val="Heading2"/>
      </w:pPr>
      <w:r>
        <w:t>26.1 Aggregation vector</w:t>
      </w:r>
    </w:p>
    <w:p>
      <w:pPr>
        <w:spacing w:after="60"/>
      </w:pPr>
      <w:r>
        <w:t>readings = [3,4,5] m → effectiveUllage=4 m. With referenceHeight=18 m, h=14 m.</w:t>
      </w:r>
    </w:p>
    <w:p>
      <w:pPr>
        <w:pStyle w:val="Heading2"/>
      </w:pPr>
      <w:r>
        <w:t>26.2 Quantity vector</w:t>
      </w:r>
    </w:p>
    <w:p>
      <w:pPr>
        <w:spacing w:after="60"/>
      </w:pPr>
      <w:r>
        <w:t>Using CE-G01 current Product Volume 3321.138601 m³ and Actual Bulk Density 76.4 kg/hl: normalized density is 764 kg/m³; expected Physical Quantity is 2537349.890960 kg.</w:t>
      </w:r>
    </w:p>
    <w:p>
      <w:pPr>
        <w:pStyle w:val="Heading2"/>
      </w:pPr>
      <w:r>
        <w:t>26.3 Boundary and failure vectors</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shd w:fill="D9EAF7"/>
          </w:tcPr>
          <w:p>
            <w:r>
              <w:rPr>
                <w:b/>
                <w:sz w:val="14"/>
              </w:rPr>
              <w:t>Test</w:t>
            </w:r>
          </w:p>
        </w:tc>
        <w:tc>
          <w:tcPr>
            <w:tcW w:type="dxa" w:w="5083"/>
            <w:shd w:fill="D9EAF7"/>
          </w:tcPr>
          <w:p>
            <w:r>
              <w:rPr>
                <w:b/>
                <w:sz w:val="14"/>
              </w:rPr>
              <w:t>Input / condition</w:t>
            </w:r>
          </w:p>
        </w:tc>
        <w:tc>
          <w:tcPr>
            <w:tcW w:type="dxa" w:w="5083"/>
            <w:shd w:fill="D9EAF7"/>
          </w:tcPr>
          <w:p>
            <w:r>
              <w:rPr>
                <w:b/>
                <w:sz w:val="14"/>
              </w:rPr>
              <w:t>Expected</w:t>
            </w:r>
          </w:p>
        </w:tc>
      </w:tr>
      <w:tr>
        <w:tc>
          <w:tcPr>
            <w:tcW w:type="dxa" w:w="5083"/>
            <w:vAlign w:val="top"/>
          </w:tcPr>
          <w:p>
            <w:pPr>
              <w:spacing w:after="0"/>
            </w:pPr>
            <w:r>
              <w:rPr>
                <w:sz w:val="13"/>
              </w:rPr>
              <w:t>CE-B01</w:t>
            </w:r>
          </w:p>
        </w:tc>
        <w:tc>
          <w:tcPr>
            <w:tcW w:type="dxa" w:w="5083"/>
            <w:vAlign w:val="top"/>
          </w:tcPr>
          <w:p>
            <w:pPr>
              <w:spacing w:after="0"/>
            </w:pPr>
            <w:r>
              <w:rPr>
                <w:sz w:val="13"/>
              </w:rPr>
              <w:t>0 measurements</w:t>
            </w:r>
          </w:p>
        </w:tc>
        <w:tc>
          <w:tcPr>
            <w:tcW w:type="dxa" w:w="5083"/>
            <w:vAlign w:val="top"/>
          </w:tcPr>
          <w:p>
            <w:pPr>
              <w:spacing w:after="0"/>
            </w:pPr>
            <w:r>
              <w:rPr>
                <w:sz w:val="13"/>
              </w:rPr>
              <w:t>GEOM_MEASUREMENT_COUNT</w:t>
            </w:r>
          </w:p>
        </w:tc>
      </w:tr>
      <w:tr>
        <w:tc>
          <w:tcPr>
            <w:tcW w:type="dxa" w:w="5083"/>
            <w:vAlign w:val="top"/>
          </w:tcPr>
          <w:p>
            <w:pPr>
              <w:spacing w:after="0"/>
            </w:pPr>
            <w:r>
              <w:rPr>
                <w:sz w:val="13"/>
              </w:rPr>
              <w:t>CE-B02</w:t>
            </w:r>
          </w:p>
        </w:tc>
        <w:tc>
          <w:tcPr>
            <w:tcW w:type="dxa" w:w="5083"/>
            <w:vAlign w:val="top"/>
          </w:tcPr>
          <w:p>
            <w:pPr>
              <w:spacing w:after="0"/>
            </w:pPr>
            <w:r>
              <w:rPr>
                <w:sz w:val="13"/>
              </w:rPr>
              <w:t>6 measurements</w:t>
            </w:r>
          </w:p>
        </w:tc>
        <w:tc>
          <w:tcPr>
            <w:tcW w:type="dxa" w:w="5083"/>
            <w:vAlign w:val="top"/>
          </w:tcPr>
          <w:p>
            <w:pPr>
              <w:spacing w:after="0"/>
            </w:pPr>
            <w:r>
              <w:rPr>
                <w:sz w:val="13"/>
              </w:rPr>
              <w:t>GEOM_MEASUREMENT_COUNT</w:t>
            </w:r>
          </w:p>
        </w:tc>
      </w:tr>
      <w:tr>
        <w:tc>
          <w:tcPr>
            <w:tcW w:type="dxa" w:w="5083"/>
            <w:vAlign w:val="top"/>
          </w:tcPr>
          <w:p>
            <w:pPr>
              <w:spacing w:after="0"/>
            </w:pPr>
            <w:r>
              <w:rPr>
                <w:sz w:val="13"/>
              </w:rPr>
              <w:t>CE-B03</w:t>
            </w:r>
          </w:p>
        </w:tc>
        <w:tc>
          <w:tcPr>
            <w:tcW w:type="dxa" w:w="5083"/>
            <w:vAlign w:val="top"/>
          </w:tcPr>
          <w:p>
            <w:pPr>
              <w:spacing w:after="0"/>
            </w:pPr>
            <w:r>
              <w:rPr>
                <w:sz w:val="13"/>
              </w:rPr>
              <w:t>ullage &lt; 0</w:t>
            </w:r>
          </w:p>
        </w:tc>
        <w:tc>
          <w:tcPr>
            <w:tcW w:type="dxa" w:w="5083"/>
            <w:vAlign w:val="top"/>
          </w:tcPr>
          <w:p>
            <w:pPr>
              <w:spacing w:after="0"/>
            </w:pPr>
            <w:r>
              <w:rPr>
                <w:sz w:val="13"/>
              </w:rPr>
              <w:t>GEOM_INVALID_ULLAGE</w:t>
            </w:r>
          </w:p>
        </w:tc>
      </w:tr>
      <w:tr>
        <w:tc>
          <w:tcPr>
            <w:tcW w:type="dxa" w:w="5083"/>
            <w:vAlign w:val="top"/>
          </w:tcPr>
          <w:p>
            <w:pPr>
              <w:spacing w:after="0"/>
            </w:pPr>
            <w:r>
              <w:rPr>
                <w:sz w:val="13"/>
              </w:rPr>
              <w:t>CE-B04</w:t>
            </w:r>
          </w:p>
        </w:tc>
        <w:tc>
          <w:tcPr>
            <w:tcW w:type="dxa" w:w="5083"/>
            <w:vAlign w:val="top"/>
          </w:tcPr>
          <w:p>
            <w:pPr>
              <w:spacing w:after="0"/>
            </w:pPr>
            <w:r>
              <w:rPr>
                <w:sz w:val="13"/>
              </w:rPr>
              <w:t>ullage &gt; reference height</w:t>
            </w:r>
          </w:p>
        </w:tc>
        <w:tc>
          <w:tcPr>
            <w:tcW w:type="dxa" w:w="5083"/>
            <w:vAlign w:val="top"/>
          </w:tcPr>
          <w:p>
            <w:pPr>
              <w:spacing w:after="0"/>
            </w:pPr>
            <w:r>
              <w:rPr>
                <w:sz w:val="13"/>
              </w:rPr>
              <w:t>GEOM_INVALID_ULLAGE</w:t>
            </w:r>
          </w:p>
        </w:tc>
      </w:tr>
      <w:tr>
        <w:tc>
          <w:tcPr>
            <w:tcW w:type="dxa" w:w="5083"/>
            <w:vAlign w:val="top"/>
          </w:tcPr>
          <w:p>
            <w:pPr>
              <w:spacing w:after="0"/>
            </w:pPr>
            <w:r>
              <w:rPr>
                <w:sz w:val="13"/>
              </w:rPr>
              <w:t>CE-B05</w:t>
            </w:r>
          </w:p>
        </w:tc>
        <w:tc>
          <w:tcPr>
            <w:tcW w:type="dxa" w:w="5083"/>
            <w:vAlign w:val="top"/>
          </w:tcPr>
          <w:p>
            <w:pPr>
              <w:spacing w:after="0"/>
            </w:pPr>
            <w:r>
              <w:rPr>
                <w:sz w:val="13"/>
              </w:rPr>
              <w:t>F01 d = D</w:t>
            </w:r>
          </w:p>
        </w:tc>
        <w:tc>
          <w:tcPr>
            <w:tcW w:type="dxa" w:w="5083"/>
            <w:vAlign w:val="top"/>
          </w:tcPr>
          <w:p>
            <w:pPr>
              <w:spacing w:after="0"/>
            </w:pPr>
            <w:r>
              <w:rPr>
                <w:sz w:val="13"/>
              </w:rPr>
              <w:t>GEOM_OUTLET_GE_DIAMETER</w:t>
            </w:r>
          </w:p>
        </w:tc>
      </w:tr>
      <w:tr>
        <w:tc>
          <w:tcPr>
            <w:tcW w:type="dxa" w:w="5083"/>
            <w:vAlign w:val="top"/>
          </w:tcPr>
          <w:p>
            <w:pPr>
              <w:spacing w:after="0"/>
            </w:pPr>
            <w:r>
              <w:rPr>
                <w:sz w:val="13"/>
              </w:rPr>
              <w:t>CE-B06</w:t>
            </w:r>
          </w:p>
        </w:tc>
        <w:tc>
          <w:tcPr>
            <w:tcW w:type="dxa" w:w="5083"/>
            <w:vAlign w:val="top"/>
          </w:tcPr>
          <w:p>
            <w:pPr>
              <w:spacing w:after="0"/>
            </w:pPr>
            <w:r>
              <w:rPr>
                <w:sz w:val="13"/>
              </w:rPr>
              <w:t>F08–F10 area without provenance</w:t>
            </w:r>
          </w:p>
        </w:tc>
        <w:tc>
          <w:tcPr>
            <w:tcW w:type="dxa" w:w="5083"/>
            <w:vAlign w:val="top"/>
          </w:tcPr>
          <w:p>
            <w:pPr>
              <w:spacing w:after="0"/>
            </w:pPr>
            <w:r>
              <w:rPr>
                <w:sz w:val="13"/>
              </w:rPr>
              <w:t>GEOM_AREA_PROVENANCE_REQUIRED</w:t>
            </w:r>
          </w:p>
        </w:tc>
      </w:tr>
      <w:tr>
        <w:tc>
          <w:tcPr>
            <w:tcW w:type="dxa" w:w="5083"/>
            <w:vAlign w:val="top"/>
          </w:tcPr>
          <w:p>
            <w:pPr>
              <w:spacing w:after="0"/>
            </w:pPr>
            <w:r>
              <w:rPr>
                <w:sz w:val="13"/>
              </w:rPr>
              <w:t>CE-B07</w:t>
            </w:r>
          </w:p>
        </w:tc>
        <w:tc>
          <w:tcPr>
            <w:tcW w:type="dxa" w:w="5083"/>
            <w:vAlign w:val="top"/>
          </w:tcPr>
          <w:p>
            <w:pPr>
              <w:spacing w:after="0"/>
            </w:pPr>
            <w:r>
              <w:rPr>
                <w:sz w:val="13"/>
              </w:rPr>
              <w:t>measurement changes after calculation</w:t>
            </w:r>
          </w:p>
        </w:tc>
        <w:tc>
          <w:tcPr>
            <w:tcW w:type="dxa" w:w="5083"/>
            <w:vAlign w:val="top"/>
          </w:tcPr>
          <w:p>
            <w:pPr>
              <w:spacing w:after="0"/>
            </w:pPr>
            <w:r>
              <w:rPr>
                <w:sz w:val="13"/>
              </w:rPr>
              <w:t>prior result becomes STALE / GEOM_STALE_RESULT</w:t>
            </w:r>
          </w:p>
        </w:tc>
      </w:tr>
      <w:tr>
        <w:tc>
          <w:tcPr>
            <w:tcW w:type="dxa" w:w="5083"/>
            <w:vAlign w:val="top"/>
          </w:tcPr>
          <w:p>
            <w:pPr>
              <w:spacing w:after="0"/>
            </w:pPr>
            <w:r>
              <w:rPr>
                <w:sz w:val="13"/>
              </w:rPr>
              <w:t>CE-B08</w:t>
            </w:r>
          </w:p>
        </w:tc>
        <w:tc>
          <w:tcPr>
            <w:tcW w:type="dxa" w:w="5083"/>
            <w:vAlign w:val="top"/>
          </w:tcPr>
          <w:p>
            <w:pPr>
              <w:spacing w:after="0"/>
            </w:pPr>
            <w:r>
              <w:rPr>
                <w:sz w:val="13"/>
              </w:rPr>
              <w:t>derived h &lt; 0 or h &gt; maximumFillHeight</w:t>
            </w:r>
          </w:p>
        </w:tc>
        <w:tc>
          <w:tcPr>
            <w:tcW w:type="dxa" w:w="5083"/>
            <w:vAlign w:val="top"/>
          </w:tcPr>
          <w:p>
            <w:pPr>
              <w:spacing w:after="0"/>
            </w:pPr>
            <w:r>
              <w:rPr>
                <w:sz w:val="13"/>
              </w:rPr>
              <w:t>GEOM_FILL_OUT_OF_RANGE</w:t>
            </w:r>
          </w:p>
        </w:tc>
      </w:tr>
      <w:tr>
        <w:tc>
          <w:tcPr>
            <w:tcW w:type="dxa" w:w="5083"/>
            <w:vAlign w:val="top"/>
          </w:tcPr>
          <w:p>
            <w:pPr>
              <w:spacing w:after="0"/>
            </w:pPr>
            <w:r>
              <w:rPr>
                <w:sz w:val="13"/>
              </w:rPr>
              <w:t>CE-B09</w:t>
            </w:r>
          </w:p>
        </w:tc>
        <w:tc>
          <w:tcPr>
            <w:tcW w:type="dxa" w:w="5083"/>
            <w:vAlign w:val="top"/>
          </w:tcPr>
          <w:p>
            <w:pPr>
              <w:spacing w:after="0"/>
            </w:pPr>
            <w:r>
              <w:rPr>
                <w:sz w:val="13"/>
              </w:rPr>
              <w:t>offline/server volume delta &gt; 0.001 m³</w:t>
            </w:r>
          </w:p>
        </w:tc>
        <w:tc>
          <w:tcPr>
            <w:tcW w:type="dxa" w:w="5083"/>
            <w:vAlign w:val="top"/>
          </w:tcPr>
          <w:p>
            <w:pPr>
              <w:spacing w:after="0"/>
            </w:pPr>
            <w:r>
              <w:rPr>
                <w:sz w:val="13"/>
              </w:rPr>
              <w:t>GEOM_CALCULATION_MISMATCH</w:t>
            </w:r>
          </w:p>
        </w:tc>
      </w:tr>
      <w:tr>
        <w:tc>
          <w:tcPr>
            <w:tcW w:type="dxa" w:w="5083"/>
            <w:vAlign w:val="top"/>
          </w:tcPr>
          <w:p>
            <w:pPr>
              <w:spacing w:after="0"/>
            </w:pPr>
            <w:r>
              <w:rPr>
                <w:sz w:val="13"/>
              </w:rPr>
              <w:t>CE-B10</w:t>
            </w:r>
          </w:p>
        </w:tc>
        <w:tc>
          <w:tcPr>
            <w:tcW w:type="dxa" w:w="5083"/>
            <w:vAlign w:val="top"/>
          </w:tcPr>
          <w:p>
            <w:pPr>
              <w:spacing w:after="0"/>
            </w:pPr>
            <w:r>
              <w:rPr>
                <w:sz w:val="13"/>
              </w:rPr>
              <w:t>Actual Bulk Density = 0</w:t>
            </w:r>
          </w:p>
        </w:tc>
        <w:tc>
          <w:tcPr>
            <w:tcW w:type="dxa" w:w="5083"/>
            <w:vAlign w:val="top"/>
          </w:tcPr>
          <w:p>
            <w:pPr>
              <w:spacing w:after="0"/>
            </w:pPr>
            <w:r>
              <w:rPr>
                <w:sz w:val="13"/>
              </w:rPr>
              <w:t>GEOM_INVALID_DENSITY</w:t>
            </w:r>
          </w:p>
        </w:tc>
      </w:tr>
      <w:tr>
        <w:tc>
          <w:tcPr>
            <w:tcW w:type="dxa" w:w="5083"/>
            <w:vAlign w:val="top"/>
          </w:tcPr>
          <w:p>
            <w:pPr>
              <w:spacing w:after="0"/>
            </w:pPr>
            <w:r>
              <w:rPr>
                <w:sz w:val="13"/>
              </w:rPr>
              <w:t>CE-B11</w:t>
            </w:r>
          </w:p>
        </w:tc>
        <w:tc>
          <w:tcPr>
            <w:tcW w:type="dxa" w:w="5083"/>
            <w:vAlign w:val="top"/>
          </w:tcPr>
          <w:p>
            <w:pPr>
              <w:spacing w:after="0"/>
            </w:pPr>
            <w:r>
              <w:rPr>
                <w:sz w:val="13"/>
              </w:rPr>
              <w:t>mixed datum in readings</w:t>
            </w:r>
          </w:p>
        </w:tc>
        <w:tc>
          <w:tcPr>
            <w:tcW w:type="dxa" w:w="5083"/>
            <w:vAlign w:val="top"/>
          </w:tcPr>
          <w:p>
            <w:pPr>
              <w:spacing w:after="0"/>
            </w:pPr>
            <w:r>
              <w:rPr>
                <w:sz w:val="13"/>
              </w:rPr>
              <w:t>GEOM_MIXED_DATUM</w:t>
            </w:r>
          </w:p>
        </w:tc>
      </w:tr>
      <w:tr>
        <w:tc>
          <w:tcPr>
            <w:tcW w:type="dxa" w:w="5083"/>
            <w:vAlign w:val="top"/>
          </w:tcPr>
          <w:p>
            <w:pPr>
              <w:spacing w:after="0"/>
            </w:pPr>
            <w:r>
              <w:rPr>
                <w:sz w:val="13"/>
              </w:rPr>
              <w:t>CE-B12</w:t>
            </w:r>
          </w:p>
        </w:tc>
        <w:tc>
          <w:tcPr>
            <w:tcW w:type="dxa" w:w="5083"/>
            <w:vAlign w:val="top"/>
          </w:tcPr>
          <w:p>
            <w:pPr>
              <w:spacing w:after="0"/>
            </w:pPr>
            <w:r>
              <w:rPr>
                <w:sz w:val="13"/>
              </w:rPr>
              <w:t>mixed profile version in readings</w:t>
            </w:r>
          </w:p>
        </w:tc>
        <w:tc>
          <w:tcPr>
            <w:tcW w:type="dxa" w:w="5083"/>
            <w:vAlign w:val="top"/>
          </w:tcPr>
          <w:p>
            <w:pPr>
              <w:spacing w:after="0"/>
            </w:pPr>
            <w:r>
              <w:rPr>
                <w:sz w:val="13"/>
              </w:rPr>
              <w:t>GEOM_MIXED_PROFILE_VERSION</w:t>
            </w:r>
          </w:p>
        </w:tc>
      </w:tr>
      <w:tr>
        <w:tc>
          <w:tcPr>
            <w:tcW w:type="dxa" w:w="5083"/>
            <w:vAlign w:val="top"/>
          </w:tcPr>
          <w:p>
            <w:pPr>
              <w:spacing w:after="0"/>
            </w:pPr>
            <w:r>
              <w:rPr>
                <w:sz w:val="13"/>
              </w:rPr>
              <w:t>CE-B13</w:t>
            </w:r>
          </w:p>
        </w:tc>
        <w:tc>
          <w:tcPr>
            <w:tcW w:type="dxa" w:w="5083"/>
            <w:vAlign w:val="top"/>
          </w:tcPr>
          <w:p>
            <w:pPr>
              <w:spacing w:after="0"/>
            </w:pPr>
            <w:r>
              <w:rPr>
                <w:sz w:val="13"/>
              </w:rPr>
              <w:t>F05 h=Hhop</w:t>
            </w:r>
          </w:p>
        </w:tc>
        <w:tc>
          <w:tcPr>
            <w:tcW w:type="dxa" w:w="5083"/>
            <w:vAlign w:val="top"/>
          </w:tcPr>
          <w:p>
            <w:pPr>
              <w:spacing w:after="0"/>
            </w:pPr>
            <w:r>
              <w:rPr>
                <w:sz w:val="13"/>
              </w:rPr>
              <w:t>continuous at hopper/body boundary</w:t>
            </w:r>
          </w:p>
        </w:tc>
      </w:tr>
      <w:tr>
        <w:tc>
          <w:tcPr>
            <w:tcW w:type="dxa" w:w="5083"/>
            <w:vAlign w:val="top"/>
          </w:tcPr>
          <w:p>
            <w:pPr>
              <w:spacing w:after="0"/>
            </w:pPr>
            <w:r>
              <w:rPr>
                <w:sz w:val="13"/>
              </w:rPr>
              <w:t>CE-B14</w:t>
            </w:r>
          </w:p>
        </w:tc>
        <w:tc>
          <w:tcPr>
            <w:tcW w:type="dxa" w:w="5083"/>
            <w:vAlign w:val="top"/>
          </w:tcPr>
          <w:p>
            <w:pPr>
              <w:spacing w:after="0"/>
            </w:pPr>
            <w:r>
              <w:rPr>
                <w:sz w:val="13"/>
              </w:rPr>
              <w:t>F06 h=Hhop</w:t>
            </w:r>
          </w:p>
        </w:tc>
        <w:tc>
          <w:tcPr>
            <w:tcW w:type="dxa" w:w="5083"/>
            <w:vAlign w:val="top"/>
          </w:tcPr>
          <w:p>
            <w:pPr>
              <w:spacing w:after="0"/>
            </w:pPr>
            <w:r>
              <w:rPr>
                <w:sz w:val="13"/>
              </w:rPr>
              <w:t>continuous at hopper/body boundary</w:t>
            </w:r>
          </w:p>
        </w:tc>
      </w:tr>
      <w:tr>
        <w:tc>
          <w:tcPr>
            <w:tcW w:type="dxa" w:w="5083"/>
            <w:vAlign w:val="top"/>
          </w:tcPr>
          <w:p>
            <w:pPr>
              <w:spacing w:after="0"/>
            </w:pPr>
            <w:r>
              <w:rPr>
                <w:sz w:val="13"/>
              </w:rPr>
              <w:t>CE-B15</w:t>
            </w:r>
          </w:p>
        </w:tc>
        <w:tc>
          <w:tcPr>
            <w:tcW w:type="dxa" w:w="5083"/>
            <w:vAlign w:val="top"/>
          </w:tcPr>
          <w:p>
            <w:pPr>
              <w:spacing w:after="0"/>
            </w:pPr>
            <w:r>
              <w:rPr>
                <w:sz w:val="13"/>
              </w:rPr>
              <w:t>F01 h=Hhop</w:t>
            </w:r>
          </w:p>
        </w:tc>
        <w:tc>
          <w:tcPr>
            <w:tcW w:type="dxa" w:w="5083"/>
            <w:vAlign w:val="top"/>
          </w:tcPr>
          <w:p>
            <w:pPr>
              <w:spacing w:after="0"/>
            </w:pPr>
            <w:r>
              <w:rPr>
                <w:sz w:val="13"/>
              </w:rPr>
              <w:t>continuous at frustum/cylinder boundary</w:t>
            </w:r>
          </w:p>
        </w:tc>
      </w:tr>
      <w:tr>
        <w:tc>
          <w:tcPr>
            <w:tcW w:type="dxa" w:w="5083"/>
            <w:vAlign w:val="top"/>
          </w:tcPr>
          <w:p>
            <w:pPr>
              <w:spacing w:after="0"/>
            </w:pPr>
            <w:r>
              <w:rPr>
                <w:sz w:val="13"/>
              </w:rPr>
              <w:t>CE-B16</w:t>
            </w:r>
          </w:p>
        </w:tc>
        <w:tc>
          <w:tcPr>
            <w:tcW w:type="dxa" w:w="5083"/>
            <w:vAlign w:val="top"/>
          </w:tcPr>
          <w:p>
            <w:pPr>
              <w:spacing w:after="0"/>
            </w:pPr>
            <w:r>
              <w:rPr>
                <w:sz w:val="13"/>
              </w:rPr>
              <w:t>h=0 for every family</w:t>
            </w:r>
          </w:p>
        </w:tc>
        <w:tc>
          <w:tcPr>
            <w:tcW w:type="dxa" w:w="5083"/>
            <w:vAlign w:val="top"/>
          </w:tcPr>
          <w:p>
            <w:pPr>
              <w:spacing w:after="0"/>
            </w:pPr>
            <w:r>
              <w:rPr>
                <w:sz w:val="13"/>
              </w:rPr>
              <w:t>V(h)=0</w:t>
            </w:r>
          </w:p>
        </w:tc>
      </w:tr>
      <w:tr>
        <w:tc>
          <w:tcPr>
            <w:tcW w:type="dxa" w:w="5083"/>
            <w:vAlign w:val="top"/>
          </w:tcPr>
          <w:p>
            <w:pPr>
              <w:spacing w:after="0"/>
            </w:pPr>
            <w:r>
              <w:rPr>
                <w:sz w:val="13"/>
              </w:rPr>
              <w:t>CE-B17</w:t>
            </w:r>
          </w:p>
        </w:tc>
        <w:tc>
          <w:tcPr>
            <w:tcW w:type="dxa" w:w="5083"/>
            <w:vAlign w:val="top"/>
          </w:tcPr>
          <w:p>
            <w:pPr>
              <w:spacing w:after="0"/>
            </w:pPr>
            <w:r>
              <w:rPr>
                <w:sz w:val="13"/>
              </w:rPr>
              <w:t>h=maximumFillHeight for every family</w:t>
            </w:r>
          </w:p>
        </w:tc>
        <w:tc>
          <w:tcPr>
            <w:tcW w:type="dxa" w:w="5083"/>
            <w:vAlign w:val="top"/>
          </w:tcPr>
          <w:p>
            <w:pPr>
              <w:spacing w:after="0"/>
            </w:pPr>
            <w:r>
              <w:rPr>
                <w:sz w:val="13"/>
              </w:rPr>
              <w:t>V(h)=Vmax</w:t>
            </w:r>
          </w:p>
        </w:tc>
      </w:tr>
      <w:tr>
        <w:tc>
          <w:tcPr>
            <w:tcW w:type="dxa" w:w="5083"/>
            <w:vAlign w:val="top"/>
          </w:tcPr>
          <w:p>
            <w:pPr>
              <w:spacing w:after="0"/>
            </w:pPr>
            <w:r>
              <w:rPr>
                <w:sz w:val="13"/>
              </w:rPr>
              <w:t>CE-B18</w:t>
            </w:r>
          </w:p>
        </w:tc>
        <w:tc>
          <w:tcPr>
            <w:tcW w:type="dxa" w:w="5083"/>
            <w:vAlign w:val="top"/>
          </w:tcPr>
          <w:p>
            <w:pPr>
              <w:spacing w:after="0"/>
            </w:pPr>
            <w:r>
              <w:rPr>
                <w:sz w:val="13"/>
              </w:rPr>
              <w:t>kg/hl density conversion</w:t>
            </w:r>
          </w:p>
        </w:tc>
        <w:tc>
          <w:tcPr>
            <w:tcW w:type="dxa" w:w="5083"/>
            <w:vAlign w:val="top"/>
          </w:tcPr>
          <w:p>
            <w:pPr>
              <w:spacing w:after="0"/>
            </w:pPr>
            <w:r>
              <w:rPr>
                <w:sz w:val="13"/>
              </w:rPr>
              <w:t>normalized density=value×10</w:t>
            </w:r>
          </w:p>
        </w:tc>
      </w:tr>
      <w:tr>
        <w:tc>
          <w:tcPr>
            <w:tcW w:type="dxa" w:w="5083"/>
            <w:vAlign w:val="top"/>
          </w:tcPr>
          <w:p>
            <w:pPr>
              <w:spacing w:after="0"/>
            </w:pPr>
            <w:r>
              <w:rPr>
                <w:sz w:val="13"/>
              </w:rPr>
              <w:t>CE-B19</w:t>
            </w:r>
          </w:p>
        </w:tc>
        <w:tc>
          <w:tcPr>
            <w:tcW w:type="dxa" w:w="5083"/>
            <w:vAlign w:val="top"/>
          </w:tcPr>
          <w:p>
            <w:pPr>
              <w:spacing w:after="0"/>
            </w:pPr>
            <w:r>
              <w:rPr>
                <w:sz w:val="13"/>
              </w:rPr>
              <w:t>Mark Empty</w:t>
            </w:r>
          </w:p>
        </w:tc>
        <w:tc>
          <w:tcPr>
            <w:tcW w:type="dxa" w:w="5083"/>
            <w:vAlign w:val="top"/>
          </w:tcPr>
          <w:p>
            <w:pPr>
              <w:spacing w:after="0"/>
            </w:pPr>
            <w:r>
              <w:rPr>
                <w:sz w:val="13"/>
              </w:rPr>
              <w:t>V=0; M=0; no non-empty density/measurement requirement</w:t>
            </w:r>
          </w:p>
        </w:tc>
      </w:tr>
      <w:tr>
        <w:tc>
          <w:tcPr>
            <w:tcW w:type="dxa" w:w="5083"/>
            <w:vAlign w:val="top"/>
          </w:tcPr>
          <w:p>
            <w:pPr>
              <w:spacing w:after="0"/>
            </w:pPr>
            <w:r>
              <w:rPr>
                <w:sz w:val="13"/>
              </w:rPr>
              <w:t>CE-B20</w:t>
            </w:r>
          </w:p>
        </w:tc>
        <w:tc>
          <w:tcPr>
            <w:tcW w:type="dxa" w:w="5083"/>
            <w:vAlign w:val="top"/>
          </w:tcPr>
          <w:p>
            <w:pPr>
              <w:spacing w:after="0"/>
            </w:pPr>
            <w:r>
              <w:rPr>
                <w:sz w:val="13"/>
              </w:rPr>
              <w:t>unsupported historical formula/engine version</w:t>
            </w:r>
          </w:p>
        </w:tc>
        <w:tc>
          <w:tcPr>
            <w:tcW w:type="dxa" w:w="5083"/>
            <w:vAlign w:val="top"/>
          </w:tcPr>
          <w:p>
            <w:pPr>
              <w:spacing w:after="0"/>
            </w:pPr>
            <w:r>
              <w:rPr>
                <w:sz w:val="13"/>
              </w:rPr>
              <w:t>GEOM_VERSION_UNSUPPORTED; never silently recalculate with current semantics</w:t>
            </w:r>
          </w:p>
        </w:tc>
      </w:tr>
    </w:tbl>
    <w:p>
      <w:pPr>
        <w:spacing w:after="20"/>
      </w:pPr>
    </w:p>
    <w:p>
      <w:pPr>
        <w:pStyle w:val="Heading1"/>
      </w:pPr>
      <w:r>
        <w:t>27. Required unit-test properties</w:t>
      </w:r>
    </w:p>
    <w:p>
      <w:pPr>
        <w:pStyle w:val="ListBullet"/>
        <w:spacing w:after="20"/>
      </w:pPr>
      <w:r>
        <w:t>For every family: V(0)=0 and V(maximumFillHeightM)=Vmax.</w:t>
      </w:r>
    </w:p>
    <w:p>
      <w:pPr>
        <w:pStyle w:val="ListBullet"/>
        <w:spacing w:after="20"/>
      </w:pPr>
      <w:r>
        <w:t>For every valid family/profile: V(h) is non-decreasing over its valid domain.</w:t>
      </w:r>
    </w:p>
    <w:p>
      <w:pPr>
        <w:pStyle w:val="ListBullet"/>
        <w:spacing w:after="20"/>
      </w:pPr>
      <w:r>
        <w:t>F01, F05 and F06 piecewise branches are continuous at the hopper/body boundary.</w:t>
      </w:r>
    </w:p>
    <w:p>
      <w:pPr>
        <w:pStyle w:val="ListBullet"/>
        <w:spacing w:after="20"/>
      </w:pPr>
      <w:r>
        <w:t>Equivalent supported density units normalize to the same kg/m³ and produce the same quantity.</w:t>
      </w:r>
    </w:p>
    <w:p>
      <w:pPr>
        <w:pStyle w:val="ListBullet"/>
        <w:spacing w:after="20"/>
      </w:pPr>
      <w:r>
        <w:t>Equivalent supported length units, when admitted by adapters, normalize to the same canonical geometry inputs.</w:t>
      </w:r>
    </w:p>
    <w:p>
      <w:pPr>
        <w:pStyle w:val="ListBullet"/>
        <w:spacing w:after="20"/>
      </w:pPr>
      <w:r>
        <w:t>Changing any fingerprint input makes the previous CalculationResult stale.</w:t>
      </w:r>
    </w:p>
    <w:p>
      <w:pPr>
        <w:pStyle w:val="ListBullet"/>
        <w:spacing w:after="20"/>
      </w:pPr>
      <w:r>
        <w:t>Repeated execution with identical canonical inputs and versions produces the same persistence-boundary outputs.</w:t>
      </w:r>
    </w:p>
    <w:p>
      <w:pPr>
        <w:pStyle w:val="ListBullet"/>
        <w:spacing w:after="20"/>
      </w:pPr>
      <w:r>
        <w:t>Mark Empty always yields exact zero volume/quantity without invoking non-empty density requirements.</w:t>
      </w:r>
    </w:p>
    <w:p>
      <w:pPr>
        <w:pStyle w:val="ListBullet"/>
        <w:spacing w:after="20"/>
      </w:pPr>
      <w:r>
        <w:t>Validated historical results remain unchanged after newer GeometryProfileVersion/formula/engine releases.</w:t>
      </w:r>
    </w:p>
    <w:p>
      <w:pPr>
        <w:pStyle w:val="Heading1"/>
      </w:pPr>
      <w:r>
        <w:t>28. Acceptance / release gates</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Gate</w:t>
            </w:r>
          </w:p>
        </w:tc>
        <w:tc>
          <w:tcPr>
            <w:tcW w:type="dxa" w:w="7625"/>
            <w:shd w:fill="D9EAF7"/>
          </w:tcPr>
          <w:p>
            <w:r>
              <w:rPr>
                <w:b/>
                <w:sz w:val="14"/>
              </w:rPr>
              <w:t>Acceptance criterion</w:t>
            </w:r>
          </w:p>
        </w:tc>
      </w:tr>
      <w:tr>
        <w:tc>
          <w:tcPr>
            <w:tcW w:type="dxa" w:w="7625"/>
            <w:vAlign w:val="top"/>
          </w:tcPr>
          <w:p>
            <w:pPr>
              <w:spacing w:after="0"/>
            </w:pPr>
            <w:r>
              <w:rPr>
                <w:sz w:val="13"/>
              </w:rPr>
              <w:t>CALC-AC01</w:t>
            </w:r>
          </w:p>
        </w:tc>
        <w:tc>
          <w:tcPr>
            <w:tcW w:type="dxa" w:w="7625"/>
            <w:vAlign w:val="top"/>
          </w:tcPr>
          <w:p>
            <w:pPr>
              <w:spacing w:after="0"/>
            </w:pPr>
            <w:r>
              <w:rPr>
                <w:sz w:val="13"/>
              </w:rPr>
              <w:t>Exactly F01–F10 resolve to controlled V6 handlers; no tenant executable formulas.</w:t>
            </w:r>
          </w:p>
        </w:tc>
      </w:tr>
      <w:tr>
        <w:tc>
          <w:tcPr>
            <w:tcW w:type="dxa" w:w="7625"/>
            <w:vAlign w:val="top"/>
          </w:tcPr>
          <w:p>
            <w:pPr>
              <w:spacing w:after="0"/>
            </w:pPr>
            <w:r>
              <w:rPr>
                <w:sz w:val="13"/>
              </w:rPr>
              <w:t>CALC-AC02</w:t>
            </w:r>
          </w:p>
        </w:tc>
        <w:tc>
          <w:tcPr>
            <w:tcW w:type="dxa" w:w="7625"/>
            <w:vAlign w:val="top"/>
          </w:tcPr>
          <w:p>
            <w:pPr>
              <w:spacing w:after="0"/>
            </w:pPr>
            <w:r>
              <w:rPr>
                <w:sz w:val="13"/>
              </w:rPr>
              <w:t>All family parameter schemas, constraints, Vmax and V(h) branches are explicit and deterministic.</w:t>
            </w:r>
          </w:p>
        </w:tc>
      </w:tr>
      <w:tr>
        <w:tc>
          <w:tcPr>
            <w:tcW w:type="dxa" w:w="7625"/>
            <w:vAlign w:val="top"/>
          </w:tcPr>
          <w:p>
            <w:pPr>
              <w:spacing w:after="0"/>
            </w:pPr>
            <w:r>
              <w:rPr>
                <w:sz w:val="13"/>
              </w:rPr>
              <w:t>CALC-AC03</w:t>
            </w:r>
          </w:p>
        </w:tc>
        <w:tc>
          <w:tcPr>
            <w:tcW w:type="dxa" w:w="7625"/>
            <w:vAlign w:val="top"/>
          </w:tcPr>
          <w:p>
            <w:pPr>
              <w:spacing w:after="0"/>
            </w:pPr>
            <w:r>
              <w:rPr>
                <w:sz w:val="13"/>
              </w:rPr>
              <w:t>ULLAGE, datum semantics, 1–5 readings and MEAN_ULLAGE_V1 are enforced identically offline/server.</w:t>
            </w:r>
          </w:p>
        </w:tc>
      </w:tr>
      <w:tr>
        <w:tc>
          <w:tcPr>
            <w:tcW w:type="dxa" w:w="7625"/>
            <w:vAlign w:val="top"/>
          </w:tcPr>
          <w:p>
            <w:pPr>
              <w:spacing w:after="0"/>
            </w:pPr>
            <w:r>
              <w:rPr>
                <w:sz w:val="13"/>
              </w:rPr>
              <w:t>CALC-AC04</w:t>
            </w:r>
          </w:p>
        </w:tc>
        <w:tc>
          <w:tcPr>
            <w:tcW w:type="dxa" w:w="7625"/>
            <w:vAlign w:val="top"/>
          </w:tcPr>
          <w:p>
            <w:pPr>
              <w:spacing w:after="0"/>
            </w:pPr>
            <w:r>
              <w:rPr>
                <w:sz w:val="13"/>
              </w:rPr>
              <w:t>No invalid reading is silently discarded and no invalid fill is silently clamped.</w:t>
            </w:r>
          </w:p>
        </w:tc>
      </w:tr>
      <w:tr>
        <w:tc>
          <w:tcPr>
            <w:tcW w:type="dxa" w:w="7625"/>
            <w:vAlign w:val="top"/>
          </w:tcPr>
          <w:p>
            <w:pPr>
              <w:spacing w:after="0"/>
            </w:pPr>
            <w:r>
              <w:rPr>
                <w:sz w:val="13"/>
              </w:rPr>
              <w:t>CALC-AC05</w:t>
            </w:r>
          </w:p>
        </w:tc>
        <w:tc>
          <w:tcPr>
            <w:tcW w:type="dxa" w:w="7625"/>
            <w:vAlign w:val="top"/>
          </w:tcPr>
          <w:p>
            <w:pPr>
              <w:spacing w:after="0"/>
            </w:pPr>
            <w:r>
              <w:rPr>
                <w:sz w:val="13"/>
              </w:rPr>
              <w:t>Max Capacity is derived from the immutable GeometryProfileVersion.</w:t>
            </w:r>
          </w:p>
        </w:tc>
      </w:tr>
      <w:tr>
        <w:tc>
          <w:tcPr>
            <w:tcW w:type="dxa" w:w="7625"/>
            <w:vAlign w:val="top"/>
          </w:tcPr>
          <w:p>
            <w:pPr>
              <w:spacing w:after="0"/>
            </w:pPr>
            <w:r>
              <w:rPr>
                <w:sz w:val="13"/>
              </w:rPr>
              <w:t>CALC-AC06</w:t>
            </w:r>
          </w:p>
        </w:tc>
        <w:tc>
          <w:tcPr>
            <w:tcW w:type="dxa" w:w="7625"/>
            <w:vAlign w:val="top"/>
          </w:tcPr>
          <w:p>
            <w:pPr>
              <w:spacing w:after="0"/>
            </w:pPr>
            <w:r>
              <w:rPr>
                <w:sz w:val="13"/>
              </w:rPr>
              <w:t>F05/F06 apex-only semantics and F07 side-length semantics are unambiguous.</w:t>
            </w:r>
          </w:p>
        </w:tc>
      </w:tr>
      <w:tr>
        <w:tc>
          <w:tcPr>
            <w:tcW w:type="dxa" w:w="7625"/>
            <w:vAlign w:val="top"/>
          </w:tcPr>
          <w:p>
            <w:pPr>
              <w:spacing w:after="0"/>
            </w:pPr>
            <w:r>
              <w:rPr>
                <w:sz w:val="13"/>
              </w:rPr>
              <w:t>CALC-AC07</w:t>
            </w:r>
          </w:p>
        </w:tc>
        <w:tc>
          <w:tcPr>
            <w:tcW w:type="dxa" w:w="7625"/>
            <w:vAlign w:val="top"/>
          </w:tcPr>
          <w:p>
            <w:pPr>
              <w:spacing w:after="0"/>
            </w:pPr>
            <w:r>
              <w:rPr>
                <w:sz w:val="13"/>
              </w:rPr>
              <w:t>F08–F10 require positive verified area + provenance and reject variable cross-section use.</w:t>
            </w:r>
          </w:p>
        </w:tc>
      </w:tr>
      <w:tr>
        <w:tc>
          <w:tcPr>
            <w:tcW w:type="dxa" w:w="7625"/>
            <w:vAlign w:val="top"/>
          </w:tcPr>
          <w:p>
            <w:pPr>
              <w:spacing w:after="0"/>
            </w:pPr>
            <w:r>
              <w:rPr>
                <w:sz w:val="13"/>
              </w:rPr>
              <w:t>CALC-AC08</w:t>
            </w:r>
          </w:p>
        </w:tc>
        <w:tc>
          <w:tcPr>
            <w:tcW w:type="dxa" w:w="7625"/>
            <w:vAlign w:val="top"/>
          </w:tcPr>
          <w:p>
            <w:pPr>
              <w:spacing w:after="0"/>
            </w:pPr>
            <w:r>
              <w:rPr>
                <w:sz w:val="13"/>
              </w:rPr>
              <w:t>Geometry Engine outputs m³ only; Quantity Engine uses Actual Bulk Density and outputs canonical kg.</w:t>
            </w:r>
          </w:p>
        </w:tc>
      </w:tr>
      <w:tr>
        <w:tc>
          <w:tcPr>
            <w:tcW w:type="dxa" w:w="7625"/>
            <w:vAlign w:val="top"/>
          </w:tcPr>
          <w:p>
            <w:pPr>
              <w:spacing w:after="0"/>
            </w:pPr>
            <w:r>
              <w:rPr>
                <w:sz w:val="13"/>
              </w:rPr>
              <w:t>CALC-AC09</w:t>
            </w:r>
          </w:p>
        </w:tc>
        <w:tc>
          <w:tcPr>
            <w:tcW w:type="dxa" w:w="7625"/>
            <w:vAlign w:val="top"/>
          </w:tcPr>
          <w:p>
            <w:pPr>
              <w:spacing w:after="0"/>
            </w:pPr>
            <w:r>
              <w:rPr>
                <w:sz w:val="13"/>
              </w:rPr>
              <w:t>Reference Test Weight, Moisture and Impurities never silently alter Physical Quantity.</w:t>
            </w:r>
          </w:p>
        </w:tc>
      </w:tr>
      <w:tr>
        <w:tc>
          <w:tcPr>
            <w:tcW w:type="dxa" w:w="7625"/>
            <w:vAlign w:val="top"/>
          </w:tcPr>
          <w:p>
            <w:pPr>
              <w:spacing w:after="0"/>
            </w:pPr>
            <w:r>
              <w:rPr>
                <w:sz w:val="13"/>
              </w:rPr>
              <w:t>CALC-AC10</w:t>
            </w:r>
          </w:p>
        </w:tc>
        <w:tc>
          <w:tcPr>
            <w:tcW w:type="dxa" w:w="7625"/>
            <w:vAlign w:val="top"/>
          </w:tcPr>
          <w:p>
            <w:pPr>
              <w:spacing w:after="0"/>
            </w:pPr>
            <w:r>
              <w:rPr>
                <w:sz w:val="13"/>
              </w:rPr>
              <w:t>Canonical units/conversions are explicit and equivalent supported units yield identical normalized inputs.</w:t>
            </w:r>
          </w:p>
        </w:tc>
      </w:tr>
      <w:tr>
        <w:tc>
          <w:tcPr>
            <w:tcW w:type="dxa" w:w="7625"/>
            <w:vAlign w:val="top"/>
          </w:tcPr>
          <w:p>
            <w:pPr>
              <w:spacing w:after="0"/>
            </w:pPr>
            <w:r>
              <w:rPr>
                <w:sz w:val="13"/>
              </w:rPr>
              <w:t>CALC-AC11</w:t>
            </w:r>
          </w:p>
        </w:tc>
        <w:tc>
          <w:tcPr>
            <w:tcW w:type="dxa" w:w="7625"/>
            <w:vAlign w:val="top"/>
          </w:tcPr>
          <w:p>
            <w:pPr>
              <w:spacing w:after="0"/>
            </w:pPr>
            <w:r>
              <w:rPr>
                <w:sz w:val="13"/>
              </w:rPr>
              <w:t>At least 15 significant intermediate digits, no intermediate rounding, scale-6 HALF_UP persistence.</w:t>
            </w:r>
          </w:p>
        </w:tc>
      </w:tr>
      <w:tr>
        <w:tc>
          <w:tcPr>
            <w:tcW w:type="dxa" w:w="7625"/>
            <w:vAlign w:val="top"/>
          </w:tcPr>
          <w:p>
            <w:pPr>
              <w:spacing w:after="0"/>
            </w:pPr>
            <w:r>
              <w:rPr>
                <w:sz w:val="13"/>
              </w:rPr>
              <w:t>CALC-AC12</w:t>
            </w:r>
          </w:p>
        </w:tc>
        <w:tc>
          <w:tcPr>
            <w:tcW w:type="dxa" w:w="7625"/>
            <w:vAlign w:val="top"/>
          </w:tcPr>
          <w:p>
            <w:pPr>
              <w:spacing w:after="0"/>
            </w:pPr>
            <w:r>
              <w:rPr>
                <w:sz w:val="13"/>
              </w:rPr>
              <w:t>Golden vectors cover all ten families plus branch boundaries and quantity conversion.</w:t>
            </w:r>
          </w:p>
        </w:tc>
      </w:tr>
      <w:tr>
        <w:tc>
          <w:tcPr>
            <w:tcW w:type="dxa" w:w="7625"/>
            <w:vAlign w:val="top"/>
          </w:tcPr>
          <w:p>
            <w:pPr>
              <w:spacing w:after="0"/>
            </w:pPr>
            <w:r>
              <w:rPr>
                <w:sz w:val="13"/>
              </w:rPr>
              <w:t>CALC-AC13</w:t>
            </w:r>
          </w:p>
        </w:tc>
        <w:tc>
          <w:tcPr>
            <w:tcW w:type="dxa" w:w="7625"/>
            <w:vAlign w:val="top"/>
          </w:tcPr>
          <w:p>
            <w:pPr>
              <w:spacing w:after="0"/>
            </w:pPr>
            <w:r>
              <w:rPr>
                <w:sz w:val="13"/>
              </w:rPr>
              <w:t>Client/server Product Volume parity uses ≤0.001 m³ verification tolerance only, not input clamping.</w:t>
            </w:r>
          </w:p>
        </w:tc>
      </w:tr>
      <w:tr>
        <w:tc>
          <w:tcPr>
            <w:tcW w:type="dxa" w:w="7625"/>
            <w:vAlign w:val="top"/>
          </w:tcPr>
          <w:p>
            <w:pPr>
              <w:spacing w:after="0"/>
            </w:pPr>
            <w:r>
              <w:rPr>
                <w:sz w:val="13"/>
              </w:rPr>
              <w:t>CALC-AC14</w:t>
            </w:r>
          </w:p>
        </w:tc>
        <w:tc>
          <w:tcPr>
            <w:tcW w:type="dxa" w:w="7625"/>
            <w:vAlign w:val="top"/>
          </w:tcPr>
          <w:p>
            <w:pPr>
              <w:spacing w:after="0"/>
            </w:pPr>
            <w:r>
              <w:rPr>
                <w:sz w:val="13"/>
              </w:rPr>
              <w:t>CalculationResult contains sufficient frozen inputs, outputs and version metadata for reproduction.</w:t>
            </w:r>
          </w:p>
        </w:tc>
      </w:tr>
      <w:tr>
        <w:tc>
          <w:tcPr>
            <w:tcW w:type="dxa" w:w="7625"/>
            <w:vAlign w:val="top"/>
          </w:tcPr>
          <w:p>
            <w:pPr>
              <w:spacing w:after="0"/>
            </w:pPr>
            <w:r>
              <w:rPr>
                <w:sz w:val="13"/>
              </w:rPr>
              <w:t>CALC-AC15</w:t>
            </w:r>
          </w:p>
        </w:tc>
        <w:tc>
          <w:tcPr>
            <w:tcW w:type="dxa" w:w="7625"/>
            <w:vAlign w:val="top"/>
          </w:tcPr>
          <w:p>
            <w:pPr>
              <w:spacing w:after="0"/>
            </w:pPr>
            <w:r>
              <w:rPr>
                <w:sz w:val="13"/>
              </w:rPr>
              <w:t>SHA-256 normalized input fingerprint changes for every calculation-relevant semantic/input change.</w:t>
            </w:r>
          </w:p>
        </w:tc>
      </w:tr>
      <w:tr>
        <w:tc>
          <w:tcPr>
            <w:tcW w:type="dxa" w:w="7625"/>
            <w:vAlign w:val="top"/>
          </w:tcPr>
          <w:p>
            <w:pPr>
              <w:spacing w:after="0"/>
            </w:pPr>
            <w:r>
              <w:rPr>
                <w:sz w:val="13"/>
              </w:rPr>
              <w:t>CALC-AC16</w:t>
            </w:r>
          </w:p>
        </w:tc>
        <w:tc>
          <w:tcPr>
            <w:tcW w:type="dxa" w:w="7625"/>
            <w:vAlign w:val="top"/>
          </w:tcPr>
          <w:p>
            <w:pPr>
              <w:spacing w:after="0"/>
            </w:pPr>
            <w:r>
              <w:rPr>
                <w:sz w:val="13"/>
              </w:rPr>
              <w:t>Validated/final historical calculations are immutable and never recalculated from current master data.</w:t>
            </w:r>
          </w:p>
        </w:tc>
      </w:tr>
      <w:tr>
        <w:tc>
          <w:tcPr>
            <w:tcW w:type="dxa" w:w="7625"/>
            <w:vAlign w:val="top"/>
          </w:tcPr>
          <w:p>
            <w:pPr>
              <w:spacing w:after="0"/>
            </w:pPr>
            <w:r>
              <w:rPr>
                <w:sz w:val="13"/>
              </w:rPr>
              <w:t>CALC-AC17</w:t>
            </w:r>
          </w:p>
        </w:tc>
        <w:tc>
          <w:tcPr>
            <w:tcW w:type="dxa" w:w="7625"/>
            <w:vAlign w:val="top"/>
          </w:tcPr>
          <w:p>
            <w:pPr>
              <w:spacing w:after="0"/>
            </w:pPr>
            <w:r>
              <w:rPr>
                <w:sz w:val="13"/>
              </w:rPr>
              <w:t>Mark Empty is represented as a workflow zero result and cannot be confused with a non-empty numerical calculation.</w:t>
            </w:r>
          </w:p>
        </w:tc>
      </w:tr>
      <w:tr>
        <w:tc>
          <w:tcPr>
            <w:tcW w:type="dxa" w:w="7625"/>
            <w:vAlign w:val="top"/>
          </w:tcPr>
          <w:p>
            <w:pPr>
              <w:spacing w:after="0"/>
            </w:pPr>
            <w:r>
              <w:rPr>
                <w:sz w:val="13"/>
              </w:rPr>
              <w:t>CALC-AC18</w:t>
            </w:r>
          </w:p>
        </w:tc>
        <w:tc>
          <w:tcPr>
            <w:tcW w:type="dxa" w:w="7625"/>
            <w:vAlign w:val="top"/>
          </w:tcPr>
          <w:p>
            <w:pPr>
              <w:spacing w:after="0"/>
            </w:pPr>
            <w:r>
              <w:rPr>
                <w:sz w:val="13"/>
              </w:rPr>
              <w:t>Calculation engine remains domain-layer logic independently unit-testable from Compose/UI.</w:t>
            </w:r>
          </w:p>
        </w:tc>
      </w:tr>
      <w:tr>
        <w:tc>
          <w:tcPr>
            <w:tcW w:type="dxa" w:w="7625"/>
            <w:vAlign w:val="top"/>
          </w:tcPr>
          <w:p>
            <w:pPr>
              <w:spacing w:after="0"/>
            </w:pPr>
            <w:r>
              <w:rPr>
                <w:sz w:val="13"/>
              </w:rPr>
              <w:t>CALC-AC19</w:t>
            </w:r>
          </w:p>
        </w:tc>
        <w:tc>
          <w:tcPr>
            <w:tcW w:type="dxa" w:w="7625"/>
            <w:vAlign w:val="top"/>
          </w:tcPr>
          <w:p>
            <w:pPr>
              <w:spacing w:after="0"/>
            </w:pPr>
            <w:r>
              <w:rPr>
                <w:sz w:val="13"/>
              </w:rPr>
              <w:t>Offline calculation and authoritative server verification use the same formula/version semantics.</w:t>
            </w:r>
          </w:p>
        </w:tc>
      </w:tr>
      <w:tr>
        <w:tc>
          <w:tcPr>
            <w:tcW w:type="dxa" w:w="7625"/>
            <w:vAlign w:val="top"/>
          </w:tcPr>
          <w:p>
            <w:pPr>
              <w:spacing w:after="0"/>
            </w:pPr>
            <w:r>
              <w:rPr>
                <w:sz w:val="13"/>
              </w:rPr>
              <w:t>CALC-AC20</w:t>
            </w:r>
          </w:p>
        </w:tc>
        <w:tc>
          <w:tcPr>
            <w:tcW w:type="dxa" w:w="7625"/>
            <w:vAlign w:val="top"/>
          </w:tcPr>
          <w:p>
            <w:pPr>
              <w:spacing w:after="0"/>
            </w:pPr>
            <w:r>
              <w:rPr>
                <w:sz w:val="13"/>
              </w:rPr>
              <w:t>No unresolved mathematical, datum, precision, versioning or reproducibility decision remains for V6 implementation.</w:t>
            </w:r>
          </w:p>
        </w:tc>
      </w:tr>
    </w:tbl>
    <w:p>
      <w:pPr>
        <w:spacing w:after="20"/>
      </w:pPr>
    </w:p>
    <w:p>
      <w:pPr>
        <w:pStyle w:val="Heading1"/>
      </w:pPr>
      <w:r>
        <w:t>29. Approved CE-D01–CE-D42 decision register</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ID</w:t>
            </w:r>
          </w:p>
        </w:tc>
        <w:tc>
          <w:tcPr>
            <w:tcW w:type="dxa" w:w="7625"/>
            <w:shd w:fill="D9EAF7"/>
          </w:tcPr>
          <w:p>
            <w:r>
              <w:rPr>
                <w:b/>
                <w:sz w:val="14"/>
              </w:rPr>
              <w:t>Frozen V6 outcome</w:t>
            </w:r>
          </w:p>
        </w:tc>
      </w:tr>
      <w:tr>
        <w:tc>
          <w:tcPr>
            <w:tcW w:type="dxa" w:w="7625"/>
            <w:vAlign w:val="top"/>
          </w:tcPr>
          <w:p>
            <w:pPr>
              <w:spacing w:after="0"/>
            </w:pPr>
            <w:r>
              <w:rPr>
                <w:sz w:val="13"/>
              </w:rPr>
              <w:t>CE-D01</w:t>
            </w:r>
          </w:p>
        </w:tc>
        <w:tc>
          <w:tcPr>
            <w:tcW w:type="dxa" w:w="7625"/>
            <w:vAlign w:val="top"/>
          </w:tcPr>
          <w:p>
            <w:pPr>
              <w:spacing w:after="0"/>
            </w:pPr>
            <w:r>
              <w:rPr>
                <w:sz w:val="13"/>
              </w:rPr>
              <w:t>V6 engine has two numerical components: Geometry Engine outputs m³; Quantity Engine outputs kg.</w:t>
            </w:r>
          </w:p>
        </w:tc>
      </w:tr>
      <w:tr>
        <w:tc>
          <w:tcPr>
            <w:tcW w:type="dxa" w:w="7625"/>
            <w:vAlign w:val="top"/>
          </w:tcPr>
          <w:p>
            <w:pPr>
              <w:spacing w:after="0"/>
            </w:pPr>
            <w:r>
              <w:rPr>
                <w:sz w:val="13"/>
              </w:rPr>
              <w:t>CE-D02</w:t>
            </w:r>
          </w:p>
        </w:tc>
        <w:tc>
          <w:tcPr>
            <w:tcW w:type="dxa" w:w="7625"/>
            <w:vAlign w:val="top"/>
          </w:tcPr>
          <w:p>
            <w:pPr>
              <w:spacing w:after="0"/>
            </w:pPr>
            <w:r>
              <w:rPr>
                <w:sz w:val="13"/>
              </w:rPr>
              <w:t>Canonical pipeline: Measurements → Normalization → Aggregation → Effective Fill Height → Geometry Engine → Product Volume → Quantity Engine → Physical Quantity.</w:t>
            </w:r>
          </w:p>
        </w:tc>
      </w:tr>
      <w:tr>
        <w:tc>
          <w:tcPr>
            <w:tcW w:type="dxa" w:w="7625"/>
            <w:vAlign w:val="top"/>
          </w:tcPr>
          <w:p>
            <w:pPr>
              <w:spacing w:after="0"/>
            </w:pPr>
            <w:r>
              <w:rPr>
                <w:sz w:val="13"/>
              </w:rPr>
              <w:t>CE-D03</w:t>
            </w:r>
          </w:p>
        </w:tc>
        <w:tc>
          <w:tcPr>
            <w:tcW w:type="dxa" w:w="7625"/>
            <w:vAlign w:val="top"/>
          </w:tcPr>
          <w:p>
            <w:pPr>
              <w:spacing w:after="0"/>
            </w:pPr>
            <w:r>
              <w:rPr>
                <w:sz w:val="13"/>
              </w:rPr>
              <w:t>The only V6 numerical measurement type is ULLAGE: vertical distance down from the frozen datum/reference point to the product surface.</w:t>
            </w:r>
          </w:p>
        </w:tc>
      </w:tr>
      <w:tr>
        <w:tc>
          <w:tcPr>
            <w:tcW w:type="dxa" w:w="7625"/>
            <w:vAlign w:val="top"/>
          </w:tcPr>
          <w:p>
            <w:pPr>
              <w:spacing w:after="0"/>
            </w:pPr>
            <w:r>
              <w:rPr>
                <w:sz w:val="13"/>
              </w:rPr>
              <w:t>CE-D04</w:t>
            </w:r>
          </w:p>
        </w:tc>
        <w:tc>
          <w:tcPr>
            <w:tcW w:type="dxa" w:w="7625"/>
            <w:vAlign w:val="top"/>
          </w:tcPr>
          <w:p>
            <w:pPr>
              <w:spacing w:after="0"/>
            </w:pPr>
            <w:r>
              <w:rPr>
                <w:sz w:val="13"/>
              </w:rPr>
              <w:t>Surface model is LEVEL_BASED_V1; it does not reconstruct an arbitrary irregular 3D surface.</w:t>
            </w:r>
          </w:p>
        </w:tc>
      </w:tr>
      <w:tr>
        <w:tc>
          <w:tcPr>
            <w:tcW w:type="dxa" w:w="7625"/>
            <w:vAlign w:val="top"/>
          </w:tcPr>
          <w:p>
            <w:pPr>
              <w:spacing w:after="0"/>
            </w:pPr>
            <w:r>
              <w:rPr>
                <w:sz w:val="13"/>
              </w:rPr>
              <w:t>CE-D05</w:t>
            </w:r>
          </w:p>
        </w:tc>
        <w:tc>
          <w:tcPr>
            <w:tcW w:type="dxa" w:w="7625"/>
            <w:vAlign w:val="top"/>
          </w:tcPr>
          <w:p>
            <w:pPr>
              <w:spacing w:after="0"/>
            </w:pPr>
            <w:r>
              <w:rPr>
                <w:sz w:val="13"/>
              </w:rPr>
              <w:t>Aggregation is MEAN_ULLAGE_V1 over all 1–5 valid compatible readings; no automatic outlier rejection.</w:t>
            </w:r>
          </w:p>
        </w:tc>
      </w:tr>
      <w:tr>
        <w:tc>
          <w:tcPr>
            <w:tcW w:type="dxa" w:w="7625"/>
            <w:vAlign w:val="top"/>
          </w:tcPr>
          <w:p>
            <w:pPr>
              <w:spacing w:after="0"/>
            </w:pPr>
            <w:r>
              <w:rPr>
                <w:sz w:val="13"/>
              </w:rPr>
              <w:t>CE-D06</w:t>
            </w:r>
          </w:p>
        </w:tc>
        <w:tc>
          <w:tcPr>
            <w:tcW w:type="dxa" w:w="7625"/>
            <w:vAlign w:val="top"/>
          </w:tcPr>
          <w:p>
            <w:pPr>
              <w:spacing w:after="0"/>
            </w:pPr>
            <w:r>
              <w:rPr>
                <w:sz w:val="13"/>
              </w:rPr>
              <w:t>Effective fill height h = measurementReferenceHeightM − effectiveUllageM; h=0 is the family geometry origin.</w:t>
            </w:r>
          </w:p>
        </w:tc>
      </w:tr>
      <w:tr>
        <w:tc>
          <w:tcPr>
            <w:tcW w:type="dxa" w:w="7625"/>
            <w:vAlign w:val="top"/>
          </w:tcPr>
          <w:p>
            <w:pPr>
              <w:spacing w:after="0"/>
            </w:pPr>
            <w:r>
              <w:rPr>
                <w:sz w:val="13"/>
              </w:rPr>
              <w:t>CE-D07</w:t>
            </w:r>
          </w:p>
        </w:tc>
        <w:tc>
          <w:tcPr>
            <w:tcW w:type="dxa" w:w="7625"/>
            <w:vAlign w:val="top"/>
          </w:tcPr>
          <w:p>
            <w:pPr>
              <w:spacing w:after="0"/>
            </w:pPr>
            <w:r>
              <w:rPr>
                <w:sz w:val="13"/>
              </w:rPr>
              <w:t>Valid fill domain is 0 ≤ h ≤ maximumFillHeightM; invalid values block calculation; no silent clamp.</w:t>
            </w:r>
          </w:p>
        </w:tc>
      </w:tr>
      <w:tr>
        <w:tc>
          <w:tcPr>
            <w:tcW w:type="dxa" w:w="7625"/>
            <w:vAlign w:val="top"/>
          </w:tcPr>
          <w:p>
            <w:pPr>
              <w:spacing w:after="0"/>
            </w:pPr>
            <w:r>
              <w:rPr>
                <w:sz w:val="13"/>
              </w:rPr>
              <w:t>CE-D08</w:t>
            </w:r>
          </w:p>
        </w:tc>
        <w:tc>
          <w:tcPr>
            <w:tcW w:type="dxa" w:w="7625"/>
            <w:vAlign w:val="top"/>
          </w:tcPr>
          <w:p>
            <w:pPr>
              <w:spacing w:after="0"/>
            </w:pPr>
            <w:r>
              <w:rPr>
                <w:sz w:val="13"/>
              </w:rPr>
              <w:t>For non-empty stocktaking V = V_family(h), M = V × ρ, with ρ = Actual Bulk Density.</w:t>
            </w:r>
          </w:p>
        </w:tc>
      </w:tr>
      <w:tr>
        <w:tc>
          <w:tcPr>
            <w:tcW w:type="dxa" w:w="7625"/>
            <w:vAlign w:val="top"/>
          </w:tcPr>
          <w:p>
            <w:pPr>
              <w:spacing w:after="0"/>
            </w:pPr>
            <w:r>
              <w:rPr>
                <w:sz w:val="13"/>
              </w:rPr>
              <w:t>CE-D09</w:t>
            </w:r>
          </w:p>
        </w:tc>
        <w:tc>
          <w:tcPr>
            <w:tcW w:type="dxa" w:w="7625"/>
            <w:vAlign w:val="top"/>
          </w:tcPr>
          <w:p>
            <w:pPr>
              <w:spacing w:after="0"/>
            </w:pPr>
            <w:r>
              <w:rPr>
                <w:sz w:val="13"/>
              </w:rPr>
              <w:t>Moisture and Impurities do not automatically correct Physical Quantity in V6.</w:t>
            </w:r>
          </w:p>
        </w:tc>
      </w:tr>
      <w:tr>
        <w:tc>
          <w:tcPr>
            <w:tcW w:type="dxa" w:w="7625"/>
            <w:vAlign w:val="top"/>
          </w:tcPr>
          <w:p>
            <w:pPr>
              <w:spacing w:after="0"/>
            </w:pPr>
            <w:r>
              <w:rPr>
                <w:sz w:val="13"/>
              </w:rPr>
              <w:t>CE-D10</w:t>
            </w:r>
          </w:p>
        </w:tc>
        <w:tc>
          <w:tcPr>
            <w:tcW w:type="dxa" w:w="7625"/>
            <w:vAlign w:val="top"/>
          </w:tcPr>
          <w:p>
            <w:pPr>
              <w:spacing w:after="0"/>
            </w:pPr>
            <w:r>
              <w:rPr>
                <w:sz w:val="13"/>
              </w:rPr>
              <w:t>Mark Empty bypasses normal non-empty calculation and produces V=0 and M=0.</w:t>
            </w:r>
          </w:p>
        </w:tc>
      </w:tr>
      <w:tr>
        <w:tc>
          <w:tcPr>
            <w:tcW w:type="dxa" w:w="7625"/>
            <w:vAlign w:val="top"/>
          </w:tcPr>
          <w:p>
            <w:pPr>
              <w:spacing w:after="0"/>
            </w:pPr>
            <w:r>
              <w:rPr>
                <w:sz w:val="13"/>
              </w:rPr>
              <w:t>CE-D11</w:t>
            </w:r>
          </w:p>
        </w:tc>
        <w:tc>
          <w:tcPr>
            <w:tcW w:type="dxa" w:w="7625"/>
            <w:vAlign w:val="top"/>
          </w:tcPr>
          <w:p>
            <w:pPr>
              <w:spacing w:after="0"/>
            </w:pPr>
            <w:r>
              <w:rPr>
                <w:sz w:val="13"/>
              </w:rPr>
              <w:t>F01 CYL_TRUNC_CONE_V1 uses the approved cylinder + conical-frustum piecewise capacity/fill contract.</w:t>
            </w:r>
          </w:p>
        </w:tc>
      </w:tr>
      <w:tr>
        <w:tc>
          <w:tcPr>
            <w:tcW w:type="dxa" w:w="7625"/>
            <w:vAlign w:val="top"/>
          </w:tcPr>
          <w:p>
            <w:pPr>
              <w:spacing w:after="0"/>
            </w:pPr>
            <w:r>
              <w:rPr>
                <w:sz w:val="13"/>
              </w:rPr>
              <w:t>CE-D12</w:t>
            </w:r>
          </w:p>
        </w:tc>
        <w:tc>
          <w:tcPr>
            <w:tcW w:type="dxa" w:w="7625"/>
            <w:vAlign w:val="top"/>
          </w:tcPr>
          <w:p>
            <w:pPr>
              <w:spacing w:after="0"/>
            </w:pPr>
            <w:r>
              <w:rPr>
                <w:sz w:val="13"/>
              </w:rPr>
              <w:t>F02 CYL_FLAT_V1 is a constant-section circular cylinder with parameters D,H.</w:t>
            </w:r>
          </w:p>
        </w:tc>
      </w:tr>
      <w:tr>
        <w:tc>
          <w:tcPr>
            <w:tcW w:type="dxa" w:w="7625"/>
            <w:vAlign w:val="top"/>
          </w:tcPr>
          <w:p>
            <w:pPr>
              <w:spacing w:after="0"/>
            </w:pPr>
            <w:r>
              <w:rPr>
                <w:sz w:val="13"/>
              </w:rPr>
              <w:t>CE-D13</w:t>
            </w:r>
          </w:p>
        </w:tc>
        <w:tc>
          <w:tcPr>
            <w:tcW w:type="dxa" w:w="7625"/>
            <w:vAlign w:val="top"/>
          </w:tcPr>
          <w:p>
            <w:pPr>
              <w:spacing w:after="0"/>
            </w:pPr>
            <w:r>
              <w:rPr>
                <w:sz w:val="13"/>
              </w:rPr>
              <w:t>F03 SQUARE_FLAT_V1 is a constant-section square prism with parameters a,H.</w:t>
            </w:r>
          </w:p>
        </w:tc>
      </w:tr>
      <w:tr>
        <w:tc>
          <w:tcPr>
            <w:tcW w:type="dxa" w:w="7625"/>
            <w:vAlign w:val="top"/>
          </w:tcPr>
          <w:p>
            <w:pPr>
              <w:spacing w:after="0"/>
            </w:pPr>
            <w:r>
              <w:rPr>
                <w:sz w:val="13"/>
              </w:rPr>
              <w:t>CE-D14</w:t>
            </w:r>
          </w:p>
        </w:tc>
        <w:tc>
          <w:tcPr>
            <w:tcW w:type="dxa" w:w="7625"/>
            <w:vAlign w:val="top"/>
          </w:tcPr>
          <w:p>
            <w:pPr>
              <w:spacing w:after="0"/>
            </w:pPr>
            <w:r>
              <w:rPr>
                <w:sz w:val="13"/>
              </w:rPr>
              <w:t>F04 RECT_FLAT_V1 is a constant-section rectangular prism with parameters L,W,H.</w:t>
            </w:r>
          </w:p>
        </w:tc>
      </w:tr>
      <w:tr>
        <w:tc>
          <w:tcPr>
            <w:tcW w:type="dxa" w:w="7625"/>
            <w:vAlign w:val="top"/>
          </w:tcPr>
          <w:p>
            <w:pPr>
              <w:spacing w:after="0"/>
            </w:pPr>
            <w:r>
              <w:rPr>
                <w:sz w:val="13"/>
              </w:rPr>
              <w:t>CE-D15</w:t>
            </w:r>
          </w:p>
        </w:tc>
        <w:tc>
          <w:tcPr>
            <w:tcW w:type="dxa" w:w="7625"/>
            <w:vAlign w:val="top"/>
          </w:tcPr>
          <w:p>
            <w:pPr>
              <w:spacing w:after="0"/>
            </w:pPr>
            <w:r>
              <w:rPr>
                <w:sz w:val="13"/>
              </w:rPr>
              <w:t>F05 SQUARE_PYRAMID_HOPPER_V1 is a square vertical prism over an inverted square pyramidal hopper terminating at an apex; parameters a,Hbody,Hhop.</w:t>
            </w:r>
          </w:p>
        </w:tc>
      </w:tr>
      <w:tr>
        <w:tc>
          <w:tcPr>
            <w:tcW w:type="dxa" w:w="7625"/>
            <w:vAlign w:val="top"/>
          </w:tcPr>
          <w:p>
            <w:pPr>
              <w:spacing w:after="0"/>
            </w:pPr>
            <w:r>
              <w:rPr>
                <w:sz w:val="13"/>
              </w:rPr>
              <w:t>CE-D16</w:t>
            </w:r>
          </w:p>
        </w:tc>
        <w:tc>
          <w:tcPr>
            <w:tcW w:type="dxa" w:w="7625"/>
            <w:vAlign w:val="top"/>
          </w:tcPr>
          <w:p>
            <w:pPr>
              <w:spacing w:after="0"/>
            </w:pPr>
            <w:r>
              <w:rPr>
                <w:sz w:val="13"/>
              </w:rPr>
              <w:t>F05 is apex-only in V6; a square pyramidal frustum/non-zero outlet requires a new versioned contract.</w:t>
            </w:r>
          </w:p>
        </w:tc>
      </w:tr>
      <w:tr>
        <w:tc>
          <w:tcPr>
            <w:tcW w:type="dxa" w:w="7625"/>
            <w:vAlign w:val="top"/>
          </w:tcPr>
          <w:p>
            <w:pPr>
              <w:spacing w:after="0"/>
            </w:pPr>
            <w:r>
              <w:rPr>
                <w:sz w:val="13"/>
              </w:rPr>
              <w:t>CE-D17</w:t>
            </w:r>
          </w:p>
        </w:tc>
        <w:tc>
          <w:tcPr>
            <w:tcW w:type="dxa" w:w="7625"/>
            <w:vAlign w:val="top"/>
          </w:tcPr>
          <w:p>
            <w:pPr>
              <w:spacing w:after="0"/>
            </w:pPr>
            <w:r>
              <w:rPr>
                <w:sz w:val="13"/>
              </w:rPr>
              <w:t>F06 RECT_PYRAMID_HOPPER_V1 is a rectangular vertical prism over an inverted rectangular pyramidal hopper terminating at an apex; parameters L,W,Hbody,Hhop.</w:t>
            </w:r>
          </w:p>
        </w:tc>
      </w:tr>
      <w:tr>
        <w:tc>
          <w:tcPr>
            <w:tcW w:type="dxa" w:w="7625"/>
            <w:vAlign w:val="top"/>
          </w:tcPr>
          <w:p>
            <w:pPr>
              <w:spacing w:after="0"/>
            </w:pPr>
            <w:r>
              <w:rPr>
                <w:sz w:val="13"/>
              </w:rPr>
              <w:t>CE-D18</w:t>
            </w:r>
          </w:p>
        </w:tc>
        <w:tc>
          <w:tcPr>
            <w:tcW w:type="dxa" w:w="7625"/>
            <w:vAlign w:val="top"/>
          </w:tcPr>
          <w:p>
            <w:pPr>
              <w:spacing w:after="0"/>
            </w:pPr>
            <w:r>
              <w:rPr>
                <w:sz w:val="13"/>
              </w:rPr>
              <w:t>F06 is apex-only in V6; frustum/eccentric/wedge variants require a new versioned contract.</w:t>
            </w:r>
          </w:p>
        </w:tc>
      </w:tr>
      <w:tr>
        <w:tc>
          <w:tcPr>
            <w:tcW w:type="dxa" w:w="7625"/>
            <w:vAlign w:val="top"/>
          </w:tcPr>
          <w:p>
            <w:pPr>
              <w:spacing w:after="0"/>
            </w:pPr>
            <w:r>
              <w:rPr>
                <w:sz w:val="13"/>
              </w:rPr>
              <w:t>CE-D19</w:t>
            </w:r>
          </w:p>
        </w:tc>
        <w:tc>
          <w:tcPr>
            <w:tcW w:type="dxa" w:w="7625"/>
            <w:vAlign w:val="top"/>
          </w:tcPr>
          <w:p>
            <w:pPr>
              <w:spacing w:after="0"/>
            </w:pPr>
            <w:r>
              <w:rPr>
                <w:sz w:val="13"/>
              </w:rPr>
              <w:t>F07 REG_HEX_FLAT_V1 uses internal regular-hexagon side length s as its primary cross-section parameter, plus H.</w:t>
            </w:r>
          </w:p>
        </w:tc>
      </w:tr>
      <w:tr>
        <w:tc>
          <w:tcPr>
            <w:tcW w:type="dxa" w:w="7625"/>
            <w:vAlign w:val="top"/>
          </w:tcPr>
          <w:p>
            <w:pPr>
              <w:spacing w:after="0"/>
            </w:pPr>
            <w:r>
              <w:rPr>
                <w:sz w:val="13"/>
              </w:rPr>
              <w:t>CE-D20</w:t>
            </w:r>
          </w:p>
        </w:tc>
        <w:tc>
          <w:tcPr>
            <w:tcW w:type="dxa" w:w="7625"/>
            <w:vAlign w:val="top"/>
          </w:tcPr>
          <w:p>
            <w:pPr>
              <w:spacing w:after="0"/>
            </w:pPr>
            <w:r>
              <w:rPr>
                <w:sz w:val="13"/>
              </w:rPr>
              <w:t>F07 area A=(3√3/2)s², Vmax=A·H, V(h)=A·h.</w:t>
            </w:r>
          </w:p>
        </w:tc>
      </w:tr>
      <w:tr>
        <w:tc>
          <w:tcPr>
            <w:tcW w:type="dxa" w:w="7625"/>
            <w:vAlign w:val="top"/>
          </w:tcPr>
          <w:p>
            <w:pPr>
              <w:spacing w:after="0"/>
            </w:pPr>
            <w:r>
              <w:rPr>
                <w:sz w:val="13"/>
              </w:rPr>
              <w:t>CE-D21</w:t>
            </w:r>
          </w:p>
        </w:tc>
        <w:tc>
          <w:tcPr>
            <w:tcW w:type="dxa" w:w="7625"/>
            <w:vAlign w:val="top"/>
          </w:tcPr>
          <w:p>
            <w:pPr>
              <w:spacing w:after="0"/>
            </w:pPr>
            <w:r>
              <w:rPr>
                <w:sz w:val="13"/>
              </w:rPr>
              <w:t>F07 is flat-bottom constant-section; hexagonal hopper/composite variants require a new versioned contract.</w:t>
            </w:r>
          </w:p>
        </w:tc>
      </w:tr>
      <w:tr>
        <w:tc>
          <w:tcPr>
            <w:tcW w:type="dxa" w:w="7625"/>
            <w:vAlign w:val="top"/>
          </w:tcPr>
          <w:p>
            <w:pPr>
              <w:spacing w:after="0"/>
            </w:pPr>
            <w:r>
              <w:rPr>
                <w:sz w:val="13"/>
              </w:rPr>
              <w:t>CE-D22</w:t>
            </w:r>
          </w:p>
        </w:tc>
        <w:tc>
          <w:tcPr>
            <w:tcW w:type="dxa" w:w="7625"/>
            <w:vAlign w:val="top"/>
          </w:tcPr>
          <w:p>
            <w:pPr>
              <w:spacing w:after="0"/>
            </w:pPr>
            <w:r>
              <w:rPr>
                <w:sz w:val="13"/>
              </w:rPr>
              <w:t>F08/F09/F10 retain distinct family identities but share the V6 verified-area handler Vmax=A·H and V(h)=A·h.</w:t>
            </w:r>
          </w:p>
        </w:tc>
      </w:tr>
      <w:tr>
        <w:tc>
          <w:tcPr>
            <w:tcW w:type="dxa" w:w="7625"/>
            <w:vAlign w:val="top"/>
          </w:tcPr>
          <w:p>
            <w:pPr>
              <w:spacing w:after="0"/>
            </w:pPr>
            <w:r>
              <w:rPr>
                <w:sz w:val="13"/>
              </w:rPr>
              <w:t>CE-D23</w:t>
            </w:r>
          </w:p>
        </w:tc>
        <w:tc>
          <w:tcPr>
            <w:tcW w:type="dxa" w:w="7625"/>
            <w:vAlign w:val="top"/>
          </w:tcPr>
          <w:p>
            <w:pPr>
              <w:spacing w:after="0"/>
            </w:pPr>
            <w:r>
              <w:rPr>
                <w:sz w:val="13"/>
              </w:rPr>
              <w:t>F08–F10 require A&gt;0, H&gt;0 and approved area provenance.</w:t>
            </w:r>
          </w:p>
        </w:tc>
      </w:tr>
      <w:tr>
        <w:tc>
          <w:tcPr>
            <w:tcW w:type="dxa" w:w="7625"/>
            <w:vAlign w:val="top"/>
          </w:tcPr>
          <w:p>
            <w:pPr>
              <w:spacing w:after="0"/>
            </w:pPr>
            <w:r>
              <w:rPr>
                <w:sz w:val="13"/>
              </w:rPr>
              <w:t>CE-D24</w:t>
            </w:r>
          </w:p>
        </w:tc>
        <w:tc>
          <w:tcPr>
            <w:tcW w:type="dxa" w:w="7625"/>
            <w:vAlign w:val="top"/>
          </w:tcPr>
          <w:p>
            <w:pPr>
              <w:spacing w:after="0"/>
            </w:pPr>
            <w:r>
              <w:rPr>
                <w:sz w:val="13"/>
              </w:rPr>
              <w:t>F08–F10 are invalid when the real horizontal cross-section varies with height; no invented parametric substitute is allowed.</w:t>
            </w:r>
          </w:p>
        </w:tc>
      </w:tr>
      <w:tr>
        <w:tc>
          <w:tcPr>
            <w:tcW w:type="dxa" w:w="7625"/>
            <w:vAlign w:val="top"/>
          </w:tcPr>
          <w:p>
            <w:pPr>
              <w:spacing w:after="0"/>
            </w:pPr>
            <w:r>
              <w:rPr>
                <w:sz w:val="13"/>
              </w:rPr>
              <w:t>CE-D25</w:t>
            </w:r>
          </w:p>
        </w:tc>
        <w:tc>
          <w:tcPr>
            <w:tcW w:type="dxa" w:w="7625"/>
            <w:vAlign w:val="top"/>
          </w:tcPr>
          <w:p>
            <w:pPr>
              <w:spacing w:after="0"/>
            </w:pPr>
            <w:r>
              <w:rPr>
                <w:sz w:val="13"/>
              </w:rPr>
              <w:t>Every stocktaking-capable GeometryProfileVersion has positive measurementReferenceHeightM and maximumFillHeightM; maximumFillHeightM matches the family's full geometric fill height.</w:t>
            </w:r>
          </w:p>
        </w:tc>
      </w:tr>
      <w:tr>
        <w:tc>
          <w:tcPr>
            <w:tcW w:type="dxa" w:w="7625"/>
            <w:vAlign w:val="top"/>
          </w:tcPr>
          <w:p>
            <w:pPr>
              <w:spacing w:after="0"/>
            </w:pPr>
            <w:r>
              <w:rPr>
                <w:sz w:val="13"/>
              </w:rPr>
              <w:t>CE-D26</w:t>
            </w:r>
          </w:p>
        </w:tc>
        <w:tc>
          <w:tcPr>
            <w:tcW w:type="dxa" w:w="7625"/>
            <w:vAlign w:val="top"/>
          </w:tcPr>
          <w:p>
            <w:pPr>
              <w:spacing w:after="0"/>
            </w:pPr>
            <w:r>
              <w:rPr>
                <w:sz w:val="13"/>
              </w:rPr>
              <w:t>measurementReferenceHeightM may exceed maximumFillHeightM when the physical measurement point lies above maximum fill.</w:t>
            </w:r>
          </w:p>
        </w:tc>
      </w:tr>
      <w:tr>
        <w:tc>
          <w:tcPr>
            <w:tcW w:type="dxa" w:w="7625"/>
            <w:vAlign w:val="top"/>
          </w:tcPr>
          <w:p>
            <w:pPr>
              <w:spacing w:after="0"/>
            </w:pPr>
            <w:r>
              <w:rPr>
                <w:sz w:val="13"/>
              </w:rPr>
              <w:t>CE-D27</w:t>
            </w:r>
          </w:p>
        </w:tc>
        <w:tc>
          <w:tcPr>
            <w:tcW w:type="dxa" w:w="7625"/>
            <w:vAlign w:val="top"/>
          </w:tcPr>
          <w:p>
            <w:pPr>
              <w:spacing w:after="0"/>
            </w:pPr>
            <w:r>
              <w:rPr>
                <w:sz w:val="13"/>
              </w:rPr>
              <w:t>Every ullage is non-negative and not above measurementReferenceHeightM; all aggregated readings share profile version, datum, measurement type and compatible units; one invalid reading blocks calculation.</w:t>
            </w:r>
          </w:p>
        </w:tc>
      </w:tr>
      <w:tr>
        <w:tc>
          <w:tcPr>
            <w:tcW w:type="dxa" w:w="7625"/>
            <w:vAlign w:val="top"/>
          </w:tcPr>
          <w:p>
            <w:pPr>
              <w:spacing w:after="0"/>
            </w:pPr>
            <w:r>
              <w:rPr>
                <w:sz w:val="13"/>
              </w:rPr>
              <w:t>CE-D28</w:t>
            </w:r>
          </w:p>
        </w:tc>
        <w:tc>
          <w:tcPr>
            <w:tcW w:type="dxa" w:w="7625"/>
            <w:vAlign w:val="top"/>
          </w:tcPr>
          <w:p>
            <w:pPr>
              <w:spacing w:after="0"/>
            </w:pPr>
            <w:r>
              <w:rPr>
                <w:sz w:val="13"/>
              </w:rPr>
              <w:t>Canonical units are m, m², m³, kg/m³ and kg; 1 kg/hl = 10 kg/m³.</w:t>
            </w:r>
          </w:p>
        </w:tc>
      </w:tr>
      <w:tr>
        <w:tc>
          <w:tcPr>
            <w:tcW w:type="dxa" w:w="7625"/>
            <w:vAlign w:val="top"/>
          </w:tcPr>
          <w:p>
            <w:pPr>
              <w:spacing w:after="0"/>
            </w:pPr>
            <w:r>
              <w:rPr>
                <w:sz w:val="13"/>
              </w:rPr>
              <w:t>CE-D29</w:t>
            </w:r>
          </w:p>
        </w:tc>
        <w:tc>
          <w:tcPr>
            <w:tcW w:type="dxa" w:w="7625"/>
            <w:vAlign w:val="top"/>
          </w:tcPr>
          <w:p>
            <w:pPr>
              <w:spacing w:after="0"/>
            </w:pPr>
            <w:r>
              <w:rPr>
                <w:sz w:val="13"/>
              </w:rPr>
              <w:t>Intermediate calculation uses at least 15 significant decimal digits and no intermediate rounding.</w:t>
            </w:r>
          </w:p>
        </w:tc>
      </w:tr>
      <w:tr>
        <w:tc>
          <w:tcPr>
            <w:tcW w:type="dxa" w:w="7625"/>
            <w:vAlign w:val="top"/>
          </w:tcPr>
          <w:p>
            <w:pPr>
              <w:spacing w:after="0"/>
            </w:pPr>
            <w:r>
              <w:rPr>
                <w:sz w:val="13"/>
              </w:rPr>
              <w:t>CE-D30</w:t>
            </w:r>
          </w:p>
        </w:tc>
        <w:tc>
          <w:tcPr>
            <w:tcW w:type="dxa" w:w="7625"/>
            <w:vAlign w:val="top"/>
          </w:tcPr>
          <w:p>
            <w:pPr>
              <w:spacing w:after="0"/>
            </w:pPr>
            <w:r>
              <w:rPr>
                <w:sz w:val="13"/>
              </w:rPr>
              <w:t>Persistence boundary is scale 6 ROUND_HALF_UP; PostgreSQL uses NUMERIC(20,6) where the numeric contract applies.</w:t>
            </w:r>
          </w:p>
        </w:tc>
      </w:tr>
      <w:tr>
        <w:tc>
          <w:tcPr>
            <w:tcW w:type="dxa" w:w="7625"/>
            <w:vAlign w:val="top"/>
          </w:tcPr>
          <w:p>
            <w:pPr>
              <w:spacing w:after="0"/>
            </w:pPr>
            <w:r>
              <w:rPr>
                <w:sz w:val="13"/>
              </w:rPr>
              <w:t>CE-D31</w:t>
            </w:r>
          </w:p>
        </w:tc>
        <w:tc>
          <w:tcPr>
            <w:tcW w:type="dxa" w:w="7625"/>
            <w:vAlign w:val="top"/>
          </w:tcPr>
          <w:p>
            <w:pPr>
              <w:spacing w:after="0"/>
            </w:pPr>
            <w:r>
              <w:rPr>
                <w:sz w:val="13"/>
              </w:rPr>
              <w:t>π and √3 use deterministic documented mathematical implementations; rounded constants such as 3.14/1.732 are forbidden; golden vectors govern parity.</w:t>
            </w:r>
          </w:p>
        </w:tc>
      </w:tr>
      <w:tr>
        <w:tc>
          <w:tcPr>
            <w:tcW w:type="dxa" w:w="7625"/>
            <w:vAlign w:val="top"/>
          </w:tcPr>
          <w:p>
            <w:pPr>
              <w:spacing w:after="0"/>
            </w:pPr>
            <w:r>
              <w:rPr>
                <w:sz w:val="13"/>
              </w:rPr>
              <w:t>CE-D32</w:t>
            </w:r>
          </w:p>
        </w:tc>
        <w:tc>
          <w:tcPr>
            <w:tcW w:type="dxa" w:w="7625"/>
            <w:vAlign w:val="top"/>
          </w:tcPr>
          <w:p>
            <w:pPr>
              <w:spacing w:after="0"/>
            </w:pPr>
            <w:r>
              <w:rPr>
                <w:sz w:val="13"/>
              </w:rPr>
              <w:t>No tolerance makes invalid geometry valid; client/server verification accepts absolute Product Volume delta ≤0.001 m³ for identical normalized input fingerprint, otherwise GEOM_CALCULATION_MISMATCH.</w:t>
            </w:r>
          </w:p>
        </w:tc>
      </w:tr>
      <w:tr>
        <w:tc>
          <w:tcPr>
            <w:tcW w:type="dxa" w:w="7625"/>
            <w:vAlign w:val="top"/>
          </w:tcPr>
          <w:p>
            <w:pPr>
              <w:spacing w:after="0"/>
            </w:pPr>
            <w:r>
              <w:rPr>
                <w:sz w:val="13"/>
              </w:rPr>
              <w:t>CE-D33</w:t>
            </w:r>
          </w:p>
        </w:tc>
        <w:tc>
          <w:tcPr>
            <w:tcW w:type="dxa" w:w="7625"/>
            <w:vAlign w:val="top"/>
          </w:tcPr>
          <w:p>
            <w:pPr>
              <w:spacing w:after="0"/>
            </w:pPr>
            <w:r>
              <w:rPr>
                <w:sz w:val="13"/>
              </w:rPr>
              <w:t>Actual Bulk Density must be &gt;0 and V6 accepts kg/m³ or kg/hl, normalized to kg/m³.</w:t>
            </w:r>
          </w:p>
        </w:tc>
      </w:tr>
      <w:tr>
        <w:tc>
          <w:tcPr>
            <w:tcW w:type="dxa" w:w="7625"/>
            <w:vAlign w:val="top"/>
          </w:tcPr>
          <w:p>
            <w:pPr>
              <w:spacing w:after="0"/>
            </w:pPr>
            <w:r>
              <w:rPr>
                <w:sz w:val="13"/>
              </w:rPr>
              <w:t>CE-D34</w:t>
            </w:r>
          </w:p>
        </w:tc>
        <w:tc>
          <w:tcPr>
            <w:tcW w:type="dxa" w:w="7625"/>
            <w:vAlign w:val="top"/>
          </w:tcPr>
          <w:p>
            <w:pPr>
              <w:spacing w:after="0"/>
            </w:pPr>
            <w:r>
              <w:rPr>
                <w:sz w:val="13"/>
              </w:rPr>
              <w:t>Reference Test Weight may support information/plausibility only and never automatically replaces missing Actual Bulk Density.</w:t>
            </w:r>
          </w:p>
        </w:tc>
      </w:tr>
      <w:tr>
        <w:tc>
          <w:tcPr>
            <w:tcW w:type="dxa" w:w="7625"/>
            <w:vAlign w:val="top"/>
          </w:tcPr>
          <w:p>
            <w:pPr>
              <w:spacing w:after="0"/>
            </w:pPr>
            <w:r>
              <w:rPr>
                <w:sz w:val="13"/>
              </w:rPr>
              <w:t>CE-D35</w:t>
            </w:r>
          </w:p>
        </w:tc>
        <w:tc>
          <w:tcPr>
            <w:tcW w:type="dxa" w:w="7625"/>
            <w:vAlign w:val="top"/>
          </w:tcPr>
          <w:p>
            <w:pPr>
              <w:spacing w:after="0"/>
            </w:pPr>
            <w:r>
              <w:rPr>
                <w:sz w:val="13"/>
              </w:rPr>
              <w:t>Physical Quantity Mkg=Vm3×ρkg/m3; tonnes are display/export conversion only; canonical quantity remains kg.</w:t>
            </w:r>
          </w:p>
        </w:tc>
      </w:tr>
      <w:tr>
        <w:tc>
          <w:tcPr>
            <w:tcW w:type="dxa" w:w="7625"/>
            <w:vAlign w:val="top"/>
          </w:tcPr>
          <w:p>
            <w:pPr>
              <w:spacing w:after="0"/>
            </w:pPr>
            <w:r>
              <w:rPr>
                <w:sz w:val="13"/>
              </w:rPr>
              <w:t>CE-D36</w:t>
            </w:r>
          </w:p>
        </w:tc>
        <w:tc>
          <w:tcPr>
            <w:tcW w:type="dxa" w:w="7625"/>
            <w:vAlign w:val="top"/>
          </w:tcPr>
          <w:p>
            <w:pPr>
              <w:spacing w:after="0"/>
            </w:pPr>
            <w:r>
              <w:rPr>
                <w:sz w:val="13"/>
              </w:rPr>
              <w:t>maxCapacityM3 = V_family(maximumFillHeightM) and is never manually entered.</w:t>
            </w:r>
          </w:p>
        </w:tc>
      </w:tr>
      <w:tr>
        <w:tc>
          <w:tcPr>
            <w:tcW w:type="dxa" w:w="7625"/>
            <w:vAlign w:val="top"/>
          </w:tcPr>
          <w:p>
            <w:pPr>
              <w:spacing w:after="0"/>
            </w:pPr>
            <w:r>
              <w:rPr>
                <w:sz w:val="13"/>
              </w:rPr>
              <w:t>CE-D37</w:t>
            </w:r>
          </w:p>
        </w:tc>
        <w:tc>
          <w:tcPr>
            <w:tcW w:type="dxa" w:w="7625"/>
            <w:vAlign w:val="top"/>
          </w:tcPr>
          <w:p>
            <w:pPr>
              <w:spacing w:after="0"/>
            </w:pPr>
            <w:r>
              <w:rPr>
                <w:sz w:val="13"/>
              </w:rPr>
              <w:t>Max Capacity belongs to GeometryProfileVersion; calculation-affecting profile changes create a new immutable version.</w:t>
            </w:r>
          </w:p>
        </w:tc>
      </w:tr>
      <w:tr>
        <w:tc>
          <w:tcPr>
            <w:tcW w:type="dxa" w:w="7625"/>
            <w:vAlign w:val="top"/>
          </w:tcPr>
          <w:p>
            <w:pPr>
              <w:spacing w:after="0"/>
            </w:pPr>
            <w:r>
              <w:rPr>
                <w:sz w:val="13"/>
              </w:rPr>
              <w:t>CE-D38</w:t>
            </w:r>
          </w:p>
        </w:tc>
        <w:tc>
          <w:tcPr>
            <w:tcW w:type="dxa" w:w="7625"/>
            <w:vAlign w:val="top"/>
          </w:tcPr>
          <w:p>
            <w:pPr>
              <w:spacing w:after="0"/>
            </w:pPr>
            <w:r>
              <w:rPr>
                <w:sz w:val="13"/>
              </w:rPr>
              <w:t>CalculationResult preserves all calculation-relevant version IDs, datum, normalized ordered readings, geometry inputs, derived values, density inputs, outputs and normalized input fingerprint.</w:t>
            </w:r>
          </w:p>
        </w:tc>
      </w:tr>
      <w:tr>
        <w:tc>
          <w:tcPr>
            <w:tcW w:type="dxa" w:w="7625"/>
            <w:vAlign w:val="top"/>
          </w:tcPr>
          <w:p>
            <w:pPr>
              <w:spacing w:after="0"/>
            </w:pPr>
            <w:r>
              <w:rPr>
                <w:sz w:val="13"/>
              </w:rPr>
              <w:t>CE-D39</w:t>
            </w:r>
          </w:p>
        </w:tc>
        <w:tc>
          <w:tcPr>
            <w:tcW w:type="dxa" w:w="7625"/>
            <w:vAlign w:val="top"/>
          </w:tcPr>
          <w:p>
            <w:pPr>
              <w:spacing w:after="0"/>
            </w:pPr>
            <w:r>
              <w:rPr>
                <w:sz w:val="13"/>
              </w:rPr>
              <w:t>Fingerprint is SHA-256 over canonical deterministic serialization of calculation-affecting normalized inputs and version identifiers; locale/UI strings are excluded.</w:t>
            </w:r>
          </w:p>
        </w:tc>
      </w:tr>
      <w:tr>
        <w:tc>
          <w:tcPr>
            <w:tcW w:type="dxa" w:w="7625"/>
            <w:vAlign w:val="top"/>
          </w:tcPr>
          <w:p>
            <w:pPr>
              <w:spacing w:after="0"/>
            </w:pPr>
            <w:r>
              <w:rPr>
                <w:sz w:val="13"/>
              </w:rPr>
              <w:t>CE-D40</w:t>
            </w:r>
          </w:p>
        </w:tc>
        <w:tc>
          <w:tcPr>
            <w:tcW w:type="dxa" w:w="7625"/>
            <w:vAlign w:val="top"/>
          </w:tcPr>
          <w:p>
            <w:pPr>
              <w:spacing w:after="0"/>
            </w:pPr>
            <w:r>
              <w:rPr>
                <w:sz w:val="13"/>
              </w:rPr>
              <w:t>Fingerprint changes whenever numerical result or its interpretation can change; non-numerical Commodity/Client/Ownership identity is excluded unless it changes a numerical input.</w:t>
            </w:r>
          </w:p>
        </w:tc>
      </w:tr>
      <w:tr>
        <w:tc>
          <w:tcPr>
            <w:tcW w:type="dxa" w:w="7625"/>
            <w:vAlign w:val="top"/>
          </w:tcPr>
          <w:p>
            <w:pPr>
              <w:spacing w:after="0"/>
            </w:pPr>
            <w:r>
              <w:rPr>
                <w:sz w:val="13"/>
              </w:rPr>
              <w:t>CE-D41</w:t>
            </w:r>
          </w:p>
        </w:tc>
        <w:tc>
          <w:tcPr>
            <w:tcW w:type="dxa" w:w="7625"/>
            <w:vAlign w:val="top"/>
          </w:tcPr>
          <w:p>
            <w:pPr>
              <w:spacing w:after="0"/>
            </w:pPr>
            <w:r>
              <w:rPr>
                <w:sz w:val="13"/>
              </w:rPr>
              <w:t>Version semantics are explicit for geometryProfileVersion, formulaVersion, inputSchemaVersion, engineVersion, aggregationRuleVersion, normalizationVersion and surfaceModelVersion.</w:t>
            </w:r>
          </w:p>
        </w:tc>
      </w:tr>
      <w:tr>
        <w:tc>
          <w:tcPr>
            <w:tcW w:type="dxa" w:w="7625"/>
            <w:vAlign w:val="top"/>
          </w:tcPr>
          <w:p>
            <w:pPr>
              <w:spacing w:after="0"/>
            </w:pPr>
            <w:r>
              <w:rPr>
                <w:sz w:val="13"/>
              </w:rPr>
              <w:t>CE-D42</w:t>
            </w:r>
          </w:p>
        </w:tc>
        <w:tc>
          <w:tcPr>
            <w:tcW w:type="dxa" w:w="7625"/>
            <w:vAlign w:val="top"/>
          </w:tcPr>
          <w:p>
            <w:pPr>
              <w:spacing w:after="0"/>
            </w:pPr>
            <w:r>
              <w:rPr>
                <w:sz w:val="13"/>
              </w:rPr>
              <w:t>Validated/final historical results are never recalculated from current master data; reproduction uses frozen inputs and pinned compatible versions/handlers.</w:t>
            </w:r>
          </w:p>
        </w:tc>
      </w:tr>
    </w:tbl>
    <w:p>
      <w:pPr>
        <w:spacing w:after="20"/>
      </w:pPr>
    </w:p>
    <w:p>
      <w:pPr>
        <w:pStyle w:val="Heading1"/>
      </w:pPr>
      <w:r>
        <w:t>30. Cross-document handoff</w:t>
      </w:r>
    </w:p>
    <w:p>
      <w:pPr>
        <w:pStyle w:val="ListBullet"/>
        <w:spacing w:after="20"/>
      </w:pPr>
      <w:r>
        <w:t>Doc14 Commodity Specification must preserve Actual Bulk Density as the operational quantity input and must not introduce an automatic Reference Test Weight fallback or moisture/impurity correction.</w:t>
      </w:r>
    </w:p>
    <w:p>
      <w:pPr>
        <w:pStyle w:val="ListBullet"/>
        <w:spacing w:after="20"/>
      </w:pPr>
      <w:r>
        <w:t>Doc16 Reporting Specification must report frozen Product Volume/Physical Quantity and must not recompute historical results with the current engine.</w:t>
      </w:r>
    </w:p>
    <w:p>
      <w:pPr>
        <w:pStyle w:val="ListBullet"/>
        <w:spacing w:after="20"/>
      </w:pPr>
      <w:r>
        <w:t>Doc17 Security/Audit/Privacy must treat formula/version/fingerprint and validation provenance as integrity-sensitive audit context.</w:t>
      </w:r>
    </w:p>
    <w:p>
      <w:pPr>
        <w:pStyle w:val="ListBullet"/>
        <w:spacing w:after="20"/>
      </w:pPr>
      <w:r>
        <w:t>Doc18 Test Strategy/Acceptance must include all golden/boundary/property tests in this document, offline/server parity, stale-result detection and historical reproduction tests.</w:t>
      </w:r>
    </w:p>
    <w:p>
      <w:pPr>
        <w:pStyle w:val="ListBullet"/>
        <w:spacing w:after="20"/>
      </w:pPr>
      <w:r>
        <w:t>Doc19 Retention must preserve the data/version capability required to reproduce retained historical calculations.</w:t>
      </w:r>
    </w:p>
    <w:p>
      <w:pPr>
        <w:pStyle w:val="ListBullet"/>
        <w:spacing w:after="20"/>
      </w:pPr>
      <w:r>
        <w:t>Doc20 Production Operations must prevent incompatible engine releases from processing frozen versions they cannot reproduce.</w:t>
      </w:r>
    </w:p>
    <w:p>
      <w:pPr>
        <w:pStyle w:val="Heading1"/>
      </w:pPr>
      <w:r>
        <w:t>31. Freeze statement</w:t>
      </w:r>
    </w:p>
    <w:p>
      <w:pPr>
        <w:spacing w:after="60"/>
      </w:pPr>
      <w:r>
        <w:t>After explicit approval, this document freezes the SiloMath V6 Calculation Engine contract. Any later change to F01–F10 parameter meaning, formulas, datum semantics, aggregation, surface model, numerical precision, quantity semantics, fingerprint composition or version/reproduction behavior requires an explicit approved V6 change and corresponding cross-document consistency update.</w:t>
      </w:r>
    </w:p>
    <w:sectPr w:rsidR="00FC693F" w:rsidRPr="0006063C" w:rsidSect="00034616">
      <w:headerReference w:type="default" r:id="rId9"/>
      <w:foot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SiloMath V6 • 13_CALCULATION_ENGINE_SPECIFICATION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SiloMath V6 • Calculation Engine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