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SiloMath V6 - 17_SECURITY_AUDIT_PRIVACY</w:t>
      </w:r>
    </w:p>
    <w:p>
      <w:pPr>
        <w:jc w:val="center"/>
      </w:pPr>
      <w:r>
        <w:rPr>
          <w:b/>
          <w:sz w:val="22"/>
        </w:rPr>
        <w:t>Security, Auditability, Privacy and Data-Protection Contract</w:t>
      </w:r>
    </w:p>
    <w:p>
      <w:pPr>
        <w:jc w:val="center"/>
      </w:pPr>
      <w:r>
        <w:t>Status: APPROVED / FROZEN V6</w:t>
      </w:r>
    </w:p>
    <w:p>
      <w:pPr>
        <w:pStyle w:val="Heading1"/>
      </w:pPr>
      <w:r>
        <w:t>1. Purpose and normative scope</w:t>
      </w:r>
    </w:p>
    <w:p>
      <w:pPr>
        <w:spacing w:after="40"/>
      </w:pPr>
      <w:r>
        <w:t>This document is the normative SiloMath V6 security, audit and privacy contract. It consolidates the frozen product, authorization, API, offline/sync, evidence, reporting and retention constraints with the explicitly approved SEC-D01-SEC-D144 decision package.</w:t>
      </w:r>
    </w:p>
    <w:p>
      <w:pPr>
        <w:spacing w:after="40"/>
      </w:pPr>
      <w:r>
        <w:t>It defines trust boundaries, authentication/session controls, transport and local-data protection, backend/object-storage controls, auditability, privacy/data minimization, logging/diagnostics, abuse controls, encryption/key management, backup/environment separation and security failure behavior.</w:t>
      </w:r>
    </w:p>
    <w:p>
      <w:pPr>
        <w:pStyle w:val="Heading1"/>
      </w:pPr>
      <w:r>
        <w:t>2. Security objectives</w:t>
      </w:r>
    </w:p>
    <w:p>
      <w:pPr>
        <w:pStyle w:val="ListBullet"/>
        <w:spacing w:after="12"/>
      </w:pPr>
      <w:r>
        <w:t>Preserve confidentiality through tenant isolation, least privilege, protected credentials and private storage.</w:t>
      </w:r>
    </w:p>
    <w:p>
      <w:pPr>
        <w:pStyle w:val="ListBullet"/>
        <w:spacing w:after="12"/>
      </w:pPr>
      <w:r>
        <w:t>Preserve integrity through server-side authorization, entity/version validation, immutable history, hashes and fail-closed controls.</w:t>
      </w:r>
    </w:p>
    <w:p>
      <w:pPr>
        <w:pStyle w:val="ListBullet"/>
        <w:spacing w:after="12"/>
      </w:pPr>
      <w:r>
        <w:t>Preserve availability without weakening authorization: supported offline work remains possible inside a verified authorized package.</w:t>
      </w:r>
    </w:p>
    <w:p>
      <w:pPr>
        <w:pStyle w:val="ListBullet"/>
        <w:spacing w:after="12"/>
      </w:pPr>
      <w:r>
        <w:t>Preserve accountability through append-only audit history and safe operational telemetry.</w:t>
      </w:r>
    </w:p>
    <w:p>
      <w:pPr>
        <w:pStyle w:val="ListBullet"/>
        <w:spacing w:after="12"/>
      </w:pPr>
      <w:r>
        <w:t>Minimize personal and device data while preserving legally/operationally required historical attribution.</w:t>
      </w:r>
    </w:p>
    <w:p>
      <w:pPr>
        <w:pStyle w:val="Heading1"/>
      </w:pPr>
      <w:r>
        <w:t>3. Security architecture and trust boundaries</w:t>
      </w:r>
    </w:p>
    <w:p>
      <w:pPr>
        <w:pStyle w:val="ListBullet"/>
        <w:spacing w:after="12"/>
      </w:pPr>
      <w:r>
        <w:t>Defense in depth, least privilege and deny-by-default are the V6 security model.</w:t>
      </w:r>
    </w:p>
    <w:p>
      <w:pPr>
        <w:pStyle w:val="ListBullet"/>
        <w:spacing w:after="12"/>
      </w:pPr>
      <w:r>
        <w:t>Canonical trust boundaries are Android app&lt;-&gt;Backend API, Backend&lt;-&gt;PostgreSQL, Backend&lt;-&gt;private object storage, and Android app&lt;-&gt;Android secure/app-private storage.</w:t>
      </w:r>
    </w:p>
    <w:p>
      <w:pPr>
        <w:pStyle w:val="ListBullet"/>
        <w:spacing w:after="12"/>
      </w:pPr>
      <w:r>
        <w:t>The Android client is untrusted for authoritative enforcement; every protected server operation is re-authorized server-side.</w:t>
      </w:r>
    </w:p>
    <w:p>
      <w:pPr>
        <w:pStyle w:val="ListBullet"/>
        <w:spacing w:after="12"/>
      </w:pPr>
      <w:r>
        <w:t>Organization isolation is mandatory for all tenant-owned resources; possession of an identifier from another Organization grants no access.</w:t>
      </w:r>
    </w:p>
    <w:p>
      <w:pPr>
        <w:pStyle w:val="ListBullet"/>
        <w:spacing w:after="12"/>
      </w:pPr>
      <w:r>
        <w:t>Effective authorization is authenticated identity  AND  Active User  AND  active OrganizationMembership  AND  role  AND  authorized scope  AND  Campaign/Team rules  AND  workflow/entity state.</w:t>
      </w:r>
    </w:p>
    <w:p>
      <w:pPr>
        <w:pStyle w:val="ListBullet"/>
        <w:spacing w:after="12"/>
      </w:pPr>
      <w:r>
        <w:t>UI hiding/disabled controls are UX controls, not security boundaries.</w:t>
      </w:r>
    </w:p>
    <w:p>
      <w:pPr>
        <w:pStyle w:val="ListBullet"/>
        <w:spacing w:after="12"/>
      </w:pPr>
      <w:r>
        <w:t>UUIDs, Campaign codes, object-storage references and local references are not credentials.</w:t>
      </w:r>
    </w:p>
    <w:p>
      <w:pPr>
        <w:pStyle w:val="ListBullet"/>
        <w:spacing w:after="12"/>
      </w:pPr>
      <w:r>
        <w:t>Unauthorized cross-tenant requests must not disclose protected resource data.</w:t>
      </w:r>
    </w:p>
    <w:p>
      <w:pPr>
        <w:pStyle w:val="Heading1"/>
      </w:pPr>
      <w:r>
        <w:t>4. Authentication</w:t>
      </w:r>
    </w:p>
    <w:p>
      <w:pPr>
        <w:pStyle w:val="ListBullet"/>
        <w:spacing w:after="12"/>
      </w:pPr>
      <w:r>
        <w:t>V6 authentication is Email + Password through the backend/configured authentication service.</w:t>
      </w:r>
    </w:p>
    <w:p>
      <w:pPr>
        <w:pStyle w:val="ListBullet"/>
        <w:spacing w:after="12"/>
      </w:pPr>
      <w:r>
        <w:t>V6 has no Remember Me, public Sign Up, Google SSO or Microsoft SSO.</w:t>
      </w:r>
    </w:p>
    <w:p>
      <w:pPr>
        <w:pStyle w:val="ListBullet"/>
        <w:spacing w:after="12"/>
      </w:pPr>
      <w:r>
        <w:t>Android never persists the password in Room, DataStore, logs, analytics, AuditEvent or diagnostics.</w:t>
      </w:r>
    </w:p>
    <w:p>
      <w:pPr>
        <w:pStyle w:val="ListBullet"/>
        <w:spacing w:after="12"/>
      </w:pPr>
      <w:r>
        <w:t>Invalid Sign In uses a generic response that does not confirm account existence.</w:t>
      </w:r>
    </w:p>
    <w:p>
      <w:pPr>
        <w:pStyle w:val="ListBullet"/>
        <w:spacing w:after="12"/>
      </w:pPr>
      <w:r>
        <w:t>Forgot Password uses a generic confirmation to reduce account enumeration.</w:t>
      </w:r>
    </w:p>
    <w:p>
      <w:pPr>
        <w:pStyle w:val="ListBullet"/>
        <w:spacing w:after="12"/>
      </w:pPr>
      <w:r>
        <w:t>Password reset is online-only and requires valid recovery context/token.</w:t>
      </w:r>
    </w:p>
    <w:p>
      <w:pPr>
        <w:pStyle w:val="ListBullet"/>
        <w:spacing w:after="12"/>
      </w:pPr>
      <w:r>
        <w:t>Successful password reset invalidates all active refresh/session credentials for that User.</w:t>
      </w:r>
    </w:p>
    <w:p>
      <w:pPr>
        <w:pStyle w:val="ListBullet"/>
        <w:spacing w:after="12"/>
      </w:pPr>
      <w:r>
        <w:t>A Disabled User cannot initiate a new authentication.</w:t>
      </w:r>
    </w:p>
    <w:p>
      <w:pPr>
        <w:pStyle w:val="ListBullet"/>
        <w:spacing w:after="12"/>
      </w:pPr>
      <w:r>
        <w:t>MFA is not a V6 requirement; adding it requires an explicit contract change.</w:t>
      </w:r>
    </w:p>
    <w:p>
      <w:pPr>
        <w:pStyle w:val="ListBullet"/>
        <w:spacing w:after="12"/>
      </w:pPr>
      <w:r>
        <w:t>V6 does not mandate a particular backend password-hash implementation, but plaintext or reversible password storage is forbidden.</w:t>
      </w:r>
    </w:p>
    <w:p>
      <w:pPr>
        <w:pStyle w:val="Heading1"/>
      </w:pPr>
      <w:r>
        <w:t>5. Session and credential lifecycle</w:t>
      </w:r>
    </w:p>
    <w:p>
      <w:pPr>
        <w:pStyle w:val="ListBullet"/>
        <w:spacing w:after="12"/>
      </w:pPr>
      <w:r>
        <w:t>Access credentials are short-lived; refresh/session credentials are longer-lived and revocable.</w:t>
      </w:r>
    </w:p>
    <w:p>
      <w:pPr>
        <w:pStyle w:val="ListBullet"/>
        <w:spacing w:after="12"/>
      </w:pPr>
      <w:r>
        <w:t>Access-token lifetime is 15 minutes; refresh/session maximum lifetime is 30 days.</w:t>
      </w:r>
    </w:p>
    <w:p>
      <w:pPr>
        <w:pStyle w:val="ListBullet"/>
        <w:spacing w:after="12"/>
      </w:pPr>
      <w:r>
        <w:t>Refresh credentials rotate on successful refresh; a confirmed previous credential is not reusable.</w:t>
      </w:r>
    </w:p>
    <w:p>
      <w:pPr>
        <w:pStyle w:val="ListBullet"/>
        <w:spacing w:after="12"/>
      </w:pPr>
      <w:r>
        <w:t>Sign Out invalidates the current server-side refresh/session credential and removes local active authentication credentials.</w:t>
      </w:r>
    </w:p>
    <w:p>
      <w:pPr>
        <w:pStyle w:val="ListBullet"/>
        <w:spacing w:after="12"/>
      </w:pPr>
      <w:r>
        <w:t>Access/refresh credentials and protection keys are stored only through Android Keystore-backed secure storage.</w:t>
      </w:r>
    </w:p>
    <w:p>
      <w:pPr>
        <w:pStyle w:val="ListBullet"/>
        <w:spacing w:after="12"/>
      </w:pPr>
      <w:r>
        <w:t>Tokens never enter Room, business outbox payloads, logs, analytics, crash reports, AuditEvent or diagnostic packages.</w:t>
      </w:r>
    </w:p>
    <w:p>
      <w:pPr>
        <w:pStyle w:val="ListBullet"/>
        <w:spacing w:after="12"/>
      </w:pPr>
      <w:r>
        <w:t>App restart may restore a session only through protected credential/session material; this is not a user-selectable Remember Me feature.</w:t>
      </w:r>
    </w:p>
    <w:p>
      <w:pPr>
        <w:pStyle w:val="ListBullet"/>
        <w:spacing w:after="12"/>
      </w:pPr>
      <w:r>
        <w:t>401 permits one secure refresh attempt and retry of the same operation; refresh failure returns the user to Sign In.</w:t>
      </w:r>
    </w:p>
    <w:p>
      <w:pPr>
        <w:pStyle w:val="ListBullet"/>
        <w:spacing w:after="12"/>
      </w:pPr>
      <w:r>
        <w:t>First-time Sign In is not possible offline.</w:t>
      </w:r>
    </w:p>
    <w:p>
      <w:pPr>
        <w:pStyle w:val="ListBullet"/>
        <w:spacing w:after="12"/>
      </w:pPr>
      <w:r>
        <w:t>Continue Offline requires a previously authenticated local identity and authorized verified offline context.</w:t>
      </w:r>
    </w:p>
    <w:p>
      <w:pPr>
        <w:pStyle w:val="ListBullet"/>
        <w:spacing w:after="12"/>
      </w:pPr>
      <w:r>
        <w:t>Expired/revoked online credentials do not become permanent offline authority.</w:t>
      </w:r>
    </w:p>
    <w:p>
      <w:pPr>
        <w:pStyle w:val="ListBullet"/>
        <w:spacing w:after="12"/>
      </w:pPr>
      <w:r>
        <w:t>When disablement/revocation becomes known, incompatible new operations are blocked; recoverable unsynced work is preserved rather than arbitrarily deleted.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726"/>
        <w:gridCol w:w="7726"/>
      </w:tblGrid>
      <w:tr>
        <w:trPr>
          <w:tblHeader w:val="true"/>
          <w:cantSplit/>
        </w:trPr>
        <w:tc>
          <w:tcPr>
            <w:tcW w:type="dxa" w:w="7726"/>
            <w:shd w:fill="D9EAF7"/>
          </w:tcPr>
          <w:p>
            <w:r>
              <w:rPr>
                <w:b/>
                <w:sz w:val="13"/>
              </w:rPr>
              <w:t>Control</w:t>
            </w:r>
          </w:p>
        </w:tc>
        <w:tc>
          <w:tcPr>
            <w:tcW w:type="dxa" w:w="7726"/>
            <w:shd w:fill="D9EAF7"/>
          </w:tcPr>
          <w:p>
            <w:r>
              <w:rPr>
                <w:b/>
                <w:sz w:val="13"/>
              </w:rPr>
              <w:t>V6 value</w:t>
            </w:r>
          </w:p>
        </w:tc>
      </w:tr>
      <w:tr>
        <w:trPr>
          <w:cantSplit/>
        </w:trPr>
        <w:tc>
          <w:tcPr>
            <w:tcW w:type="dxa" w:w="7726"/>
            <w:vAlign w:val="top"/>
          </w:tcPr>
          <w:p>
            <w:pPr>
              <w:spacing w:after="0"/>
            </w:pPr>
            <w:r>
              <w:rPr>
                <w:sz w:val="12"/>
              </w:rPr>
              <w:t>Access-token maximum lifetime</w:t>
            </w:r>
          </w:p>
        </w:tc>
        <w:tc>
          <w:tcPr>
            <w:tcW w:type="dxa" w:w="7726"/>
            <w:vAlign w:val="top"/>
          </w:tcPr>
          <w:p>
            <w:pPr>
              <w:spacing w:after="0"/>
            </w:pPr>
            <w:r>
              <w:rPr>
                <w:sz w:val="12"/>
              </w:rPr>
              <w:t>15 minutes</w:t>
            </w:r>
          </w:p>
        </w:tc>
      </w:tr>
      <w:tr>
        <w:trPr>
          <w:cantSplit/>
        </w:trPr>
        <w:tc>
          <w:tcPr>
            <w:tcW w:type="dxa" w:w="7726"/>
            <w:vAlign w:val="top"/>
          </w:tcPr>
          <w:p>
            <w:pPr>
              <w:spacing w:after="0"/>
            </w:pPr>
            <w:r>
              <w:rPr>
                <w:sz w:val="12"/>
              </w:rPr>
              <w:t>Refresh/session maximum lifetime</w:t>
            </w:r>
          </w:p>
        </w:tc>
        <w:tc>
          <w:tcPr>
            <w:tcW w:type="dxa" w:w="7726"/>
            <w:vAlign w:val="top"/>
          </w:tcPr>
          <w:p>
            <w:pPr>
              <w:spacing w:after="0"/>
            </w:pPr>
            <w:r>
              <w:rPr>
                <w:sz w:val="12"/>
              </w:rPr>
              <w:t>30 days</w:t>
            </w:r>
          </w:p>
        </w:tc>
      </w:tr>
      <w:tr>
        <w:trPr>
          <w:cantSplit/>
        </w:trPr>
        <w:tc>
          <w:tcPr>
            <w:tcW w:type="dxa" w:w="7726"/>
            <w:vAlign w:val="top"/>
          </w:tcPr>
          <w:p>
            <w:pPr>
              <w:spacing w:after="0"/>
            </w:pPr>
            <w:r>
              <w:rPr>
                <w:sz w:val="12"/>
              </w:rPr>
              <w:t>Refresh behavior</w:t>
            </w:r>
          </w:p>
        </w:tc>
        <w:tc>
          <w:tcPr>
            <w:tcW w:type="dxa" w:w="7726"/>
            <w:vAlign w:val="top"/>
          </w:tcPr>
          <w:p>
            <w:pPr>
              <w:spacing w:after="0"/>
            </w:pPr>
            <w:r>
              <w:rPr>
                <w:sz w:val="12"/>
              </w:rPr>
              <w:t>Rotate on successful refresh</w:t>
            </w:r>
          </w:p>
        </w:tc>
      </w:tr>
      <w:tr>
        <w:trPr>
          <w:cantSplit/>
        </w:trPr>
        <w:tc>
          <w:tcPr>
            <w:tcW w:type="dxa" w:w="7726"/>
            <w:vAlign w:val="top"/>
          </w:tcPr>
          <w:p>
            <w:pPr>
              <w:spacing w:after="0"/>
            </w:pPr>
            <w:r>
              <w:rPr>
                <w:sz w:val="12"/>
              </w:rPr>
              <w:t>401 behavior</w:t>
            </w:r>
          </w:p>
        </w:tc>
        <w:tc>
          <w:tcPr>
            <w:tcW w:type="dxa" w:w="7726"/>
            <w:vAlign w:val="top"/>
          </w:tcPr>
          <w:p>
            <w:pPr>
              <w:spacing w:after="0"/>
            </w:pPr>
            <w:r>
              <w:rPr>
                <w:sz w:val="12"/>
              </w:rPr>
              <w:t>One secure refresh attempt, then Sign In on failure</w:t>
            </w:r>
          </w:p>
        </w:tc>
      </w:tr>
      <w:tr>
        <w:trPr>
          <w:cantSplit/>
        </w:trPr>
        <w:tc>
          <w:tcPr>
            <w:tcW w:type="dxa" w:w="7726"/>
            <w:vAlign w:val="top"/>
          </w:tcPr>
          <w:p>
            <w:pPr>
              <w:spacing w:after="0"/>
            </w:pPr>
            <w:r>
              <w:rPr>
                <w:sz w:val="12"/>
              </w:rPr>
              <w:t>Remember Me</w:t>
            </w:r>
          </w:p>
        </w:tc>
        <w:tc>
          <w:tcPr>
            <w:tcW w:type="dxa" w:w="7726"/>
            <w:vAlign w:val="top"/>
          </w:tcPr>
          <w:p>
            <w:pPr>
              <w:spacing w:after="0"/>
            </w:pPr>
            <w:r>
              <w:rPr>
                <w:sz w:val="12"/>
              </w:rPr>
              <w:t>Not present</w:t>
            </w:r>
          </w:p>
        </w:tc>
      </w:tr>
      <w:tr>
        <w:trPr>
          <w:cantSplit/>
        </w:trPr>
        <w:tc>
          <w:tcPr>
            <w:tcW w:type="dxa" w:w="7726"/>
            <w:vAlign w:val="top"/>
          </w:tcPr>
          <w:p>
            <w:pPr>
              <w:spacing w:after="0"/>
            </w:pPr>
            <w:r>
              <w:rPr>
                <w:sz w:val="12"/>
              </w:rPr>
              <w:t>First-time offline Sign In</w:t>
            </w:r>
          </w:p>
        </w:tc>
        <w:tc>
          <w:tcPr>
            <w:tcW w:type="dxa" w:w="7726"/>
            <w:vAlign w:val="top"/>
          </w:tcPr>
          <w:p>
            <w:pPr>
              <w:spacing w:after="0"/>
            </w:pPr>
            <w:r>
              <w:rPr>
                <w:sz w:val="12"/>
              </w:rPr>
              <w:t>Not allowed</w:t>
            </w:r>
          </w:p>
        </w:tc>
      </w:tr>
    </w:tbl>
    <w:p>
      <w:pPr>
        <w:spacing w:after="20"/>
      </w:pPr>
    </w:p>
    <w:p>
      <w:pPr>
        <w:pStyle w:val="Heading1"/>
      </w:pPr>
      <w:r>
        <w:t>6. Transport and API security</w:t>
      </w:r>
    </w:p>
    <w:p>
      <w:pPr>
        <w:pStyle w:val="ListBullet"/>
        <w:spacing w:after="12"/>
      </w:pPr>
      <w:r>
        <w:t>Production API and Evidence transfer use HTTPS/TLS only.</w:t>
      </w:r>
    </w:p>
    <w:p>
      <w:pPr>
        <w:pStyle w:val="ListBullet"/>
        <w:spacing w:after="12"/>
      </w:pPr>
      <w:r>
        <w:t>Production Android Network Security Configuration disables cleartext HTTP.</w:t>
      </w:r>
    </w:p>
    <w:p>
      <w:pPr>
        <w:pStyle w:val="ListBullet"/>
        <w:spacing w:after="12"/>
      </w:pPr>
      <w:r>
        <w:t>Minimum transport is TLS 1.2; TLS 1.3 is preferred where negotiated.</w:t>
      </w:r>
    </w:p>
    <w:p>
      <w:pPr>
        <w:pStyle w:val="ListBullet"/>
        <w:spacing w:after="12"/>
      </w:pPr>
      <w:r>
        <w:t>Production uses normal certificate-chain and hostname validation; trust-all/bypass logic is forbidden.</w:t>
      </w:r>
    </w:p>
    <w:p>
      <w:pPr>
        <w:pStyle w:val="ListBullet"/>
        <w:spacing w:after="12"/>
      </w:pPr>
      <w:r>
        <w:t>Certificate pinning is not mandatory in V6 and requires a separate ADR with rotation/recovery strategy if introduced.</w:t>
      </w:r>
    </w:p>
    <w:p>
      <w:pPr>
        <w:pStyle w:val="ListBullet"/>
        <w:spacing w:after="12"/>
      </w:pPr>
      <w:r>
        <w:t>Authentication and authorization are evaluated for every protected API request; client-supplied organizationId/userId is not proof of authority.</w:t>
      </w:r>
    </w:p>
    <w:p>
      <w:pPr>
        <w:pStyle w:val="ListBullet"/>
        <w:spacing w:after="12"/>
      </w:pPr>
      <w:r>
        <w:t>API errors never expose stack traces, SQL, secrets, token values or internal object-storage credentials.</w:t>
      </w:r>
    </w:p>
    <w:p>
      <w:pPr>
        <w:pStyle w:val="ListBullet"/>
        <w:spacing w:after="12"/>
      </w:pPr>
      <w:r>
        <w:t>Idempotency keys, entityVersion and correlation IDs support integrity/traceability but are not authentication credentials.</w:t>
      </w:r>
    </w:p>
    <w:p>
      <w:pPr>
        <w:pStyle w:val="Heading1"/>
      </w:pPr>
      <w:r>
        <w:t>7. Android local-data security</w:t>
      </w:r>
    </w:p>
    <w:p>
      <w:pPr>
        <w:pStyle w:val="ListBullet"/>
        <w:spacing w:after="12"/>
      </w:pPr>
      <w:r>
        <w:t>Offline business data uses the Android application sandbox and app-private storage.</w:t>
      </w:r>
    </w:p>
    <w:p>
      <w:pPr>
        <w:pStyle w:val="ListBullet"/>
        <w:spacing w:after="12"/>
      </w:pPr>
      <w:r>
        <w:t>PHOTO Evidence remains app-private and is not automatically copied to public gallery/shared storage.</w:t>
      </w:r>
    </w:p>
    <w:p>
      <w:pPr>
        <w:pStyle w:val="ListBullet"/>
        <w:spacing w:after="12"/>
      </w:pPr>
      <w:r>
        <w:t>Room contains neither password/token secrets nor PHOTO BLOBs.</w:t>
      </w:r>
    </w:p>
    <w:p>
      <w:pPr>
        <w:pStyle w:val="ListBullet"/>
        <w:spacing w:after="12"/>
      </w:pPr>
      <w:r>
        <w:t>Production Room/offline business data is encrypted at rest; key material is protected through Android Keystore.</w:t>
      </w:r>
    </w:p>
    <w:p>
      <w:pPr>
        <w:pStyle w:val="ListBullet"/>
        <w:spacing w:after="12"/>
      </w:pPr>
      <w:r>
        <w:t>Database-encryption keys are not hardcoded, committed, embedded as plaintext configuration or synchronized as business data.</w:t>
      </w:r>
    </w:p>
    <w:p>
      <w:pPr>
        <w:pStyle w:val="ListBullet"/>
        <w:spacing w:after="12"/>
      </w:pPr>
      <w:r>
        <w:t>Platform backup/restore excludes auth credentials, database keys and sensitive offline Campaign/Evidence stores.</w:t>
      </w:r>
    </w:p>
    <w:p>
      <w:pPr>
        <w:pStyle w:val="ListBullet"/>
        <w:spacing w:after="12"/>
      </w:pPr>
      <w:r>
        <w:t>Secrets are not copied/shared through clipboard/export/share workflows; business exports use approved report flows only.</w:t>
      </w:r>
    </w:p>
    <w:p>
      <w:pPr>
        <w:pStyle w:val="ListBullet"/>
        <w:spacing w:after="12"/>
      </w:pPr>
      <w:r>
        <w:t>Root detection/device attestation is not a V6 authorization boundary.</w:t>
      </w:r>
    </w:p>
    <w:p>
      <w:pPr>
        <w:pStyle w:val="Heading2"/>
      </w:pPr>
      <w:r>
        <w:t>7.1 Encryption-at-rest hierarchy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726"/>
        <w:gridCol w:w="7726"/>
      </w:tblGrid>
      <w:tr>
        <w:trPr>
          <w:tblHeader w:val="true"/>
          <w:cantSplit/>
        </w:trPr>
        <w:tc>
          <w:tcPr>
            <w:tcW w:type="dxa" w:w="7726"/>
            <w:shd w:fill="D9EAF7"/>
          </w:tcPr>
          <w:p>
            <w:r>
              <w:rPr>
                <w:b/>
                <w:sz w:val="13"/>
              </w:rPr>
              <w:t>Asset</w:t>
            </w:r>
          </w:p>
        </w:tc>
        <w:tc>
          <w:tcPr>
            <w:tcW w:type="dxa" w:w="7726"/>
            <w:shd w:fill="D9EAF7"/>
          </w:tcPr>
          <w:p>
            <w:r>
              <w:rPr>
                <w:b/>
                <w:sz w:val="13"/>
              </w:rPr>
              <w:t>Required V6 protection</w:t>
            </w:r>
          </w:p>
        </w:tc>
      </w:tr>
      <w:tr>
        <w:trPr>
          <w:cantSplit/>
        </w:trPr>
        <w:tc>
          <w:tcPr>
            <w:tcW w:type="dxa" w:w="7726"/>
            <w:vAlign w:val="top"/>
          </w:tcPr>
          <w:p>
            <w:pPr>
              <w:spacing w:after="0"/>
            </w:pPr>
            <w:r>
              <w:rPr>
                <w:sz w:val="12"/>
              </w:rPr>
              <w:t>Room/offline business database</w:t>
            </w:r>
          </w:p>
        </w:tc>
        <w:tc>
          <w:tcPr>
            <w:tcW w:type="dxa" w:w="7726"/>
            <w:vAlign w:val="top"/>
          </w:tcPr>
          <w:p>
            <w:pPr>
              <w:spacing w:after="0"/>
            </w:pPr>
            <w:r>
              <w:rPr>
                <w:sz w:val="12"/>
              </w:rPr>
              <w:t>Application/database encryption in Production; random per-installation secret protected through Android Keystore.</w:t>
            </w:r>
          </w:p>
        </w:tc>
      </w:tr>
      <w:tr>
        <w:trPr>
          <w:cantSplit/>
        </w:trPr>
        <w:tc>
          <w:tcPr>
            <w:tcW w:type="dxa" w:w="7726"/>
            <w:vAlign w:val="top"/>
          </w:tcPr>
          <w:p>
            <w:pPr>
              <w:spacing w:after="0"/>
            </w:pPr>
            <w:r>
              <w:rPr>
                <w:sz w:val="12"/>
              </w:rPr>
              <w:t>Local PHOTO Evidence</w:t>
            </w:r>
          </w:p>
        </w:tc>
        <w:tc>
          <w:tcPr>
            <w:tcW w:type="dxa" w:w="7726"/>
            <w:vAlign w:val="top"/>
          </w:tcPr>
          <w:p>
            <w:pPr>
              <w:spacing w:after="0"/>
            </w:pPr>
            <w:r>
              <w:rPr>
                <w:sz w:val="12"/>
              </w:rPr>
              <w:t>App-private plus application-level encryption in Production using Keystore-protected key material.</w:t>
            </w:r>
          </w:p>
        </w:tc>
      </w:tr>
      <w:tr>
        <w:trPr>
          <w:cantSplit/>
        </w:trPr>
        <w:tc>
          <w:tcPr>
            <w:tcW w:type="dxa" w:w="7726"/>
            <w:vAlign w:val="top"/>
          </w:tcPr>
          <w:p>
            <w:pPr>
              <w:spacing w:after="0"/>
            </w:pPr>
            <w:r>
              <w:rPr>
                <w:sz w:val="12"/>
              </w:rPr>
              <w:t>Authentication credentials</w:t>
            </w:r>
          </w:p>
        </w:tc>
        <w:tc>
          <w:tcPr>
            <w:tcW w:type="dxa" w:w="7726"/>
            <w:vAlign w:val="top"/>
          </w:tcPr>
          <w:p>
            <w:pPr>
              <w:spacing w:after="0"/>
            </w:pPr>
            <w:r>
              <w:rPr>
                <w:sz w:val="12"/>
              </w:rPr>
              <w:t>Android Keystore-backed secure storage; never Room/DataStore business storage.</w:t>
            </w:r>
          </w:p>
        </w:tc>
      </w:tr>
      <w:tr>
        <w:trPr>
          <w:cantSplit/>
        </w:trPr>
        <w:tc>
          <w:tcPr>
            <w:tcW w:type="dxa" w:w="7726"/>
            <w:vAlign w:val="top"/>
          </w:tcPr>
          <w:p>
            <w:pPr>
              <w:spacing w:after="0"/>
            </w:pPr>
            <w:r>
              <w:rPr>
                <w:sz w:val="12"/>
              </w:rPr>
              <w:t>Android backup</w:t>
            </w:r>
          </w:p>
        </w:tc>
        <w:tc>
          <w:tcPr>
            <w:tcW w:type="dxa" w:w="7726"/>
            <w:vAlign w:val="top"/>
          </w:tcPr>
          <w:p>
            <w:pPr>
              <w:spacing w:after="0"/>
            </w:pPr>
            <w:r>
              <w:rPr>
                <w:sz w:val="12"/>
              </w:rPr>
              <w:t>Protected stores, auth secrets and encryption keys excluded.</w:t>
            </w:r>
          </w:p>
        </w:tc>
      </w:tr>
    </w:tbl>
    <w:p>
      <w:pPr>
        <w:spacing w:after="20"/>
      </w:pPr>
    </w:p>
    <w:p>
      <w:pPr>
        <w:pStyle w:val="Heading1"/>
      </w:pPr>
      <w:r>
        <w:t>8. Backend, PostgreSQL and object storage</w:t>
      </w:r>
    </w:p>
    <w:p>
      <w:pPr>
        <w:pStyle w:val="ListBullet"/>
        <w:spacing w:after="12"/>
      </w:pPr>
      <w:r>
        <w:t>Android never connects directly to PostgreSQL; business access goes through the Backend API.</w:t>
      </w:r>
    </w:p>
    <w:p>
      <w:pPr>
        <w:pStyle w:val="ListBullet"/>
        <w:spacing w:after="12"/>
      </w:pPr>
      <w:r>
        <w:t>Database and object-storage credentials are environment secrets and are never included in the Android APK.</w:t>
      </w:r>
    </w:p>
    <w:p>
      <w:pPr>
        <w:pStyle w:val="ListBullet"/>
        <w:spacing w:after="12"/>
      </w:pPr>
      <w:r>
        <w:t>Production database transport is encrypted across trust boundaries; public unauthenticated database exposure is forbidden.</w:t>
      </w:r>
    </w:p>
    <w:p>
      <w:pPr>
        <w:pStyle w:val="ListBullet"/>
        <w:spacing w:after="12"/>
      </w:pPr>
      <w:r>
        <w:t>Evidence object storage is private; remoteObjectRef is opaque and is not a public URL or bearer credential.</w:t>
      </w:r>
    </w:p>
    <w:p>
      <w:pPr>
        <w:pStyle w:val="ListBullet"/>
        <w:spacing w:after="12"/>
      </w:pPr>
      <w:r>
        <w:t>Evidence upload/download authorization is enforced through backend Organization/Campaign/owner context.</w:t>
      </w:r>
    </w:p>
    <w:p>
      <w:pPr>
        <w:pStyle w:val="ListBullet"/>
        <w:spacing w:after="12"/>
      </w:pPr>
      <w:r>
        <w:t>Storage lifecycle/cleanup must not delete retained historical Evidence or create dangling references.</w:t>
      </w:r>
    </w:p>
    <w:p>
      <w:pPr>
        <w:pStyle w:val="ListBullet"/>
        <w:spacing w:after="12"/>
      </w:pPr>
      <w:r>
        <w:t>Production secrets are supplied by environment/secret-management facilities, not committed configuration.</w:t>
      </w:r>
    </w:p>
    <w:p>
      <w:pPr>
        <w:pStyle w:val="ListBullet"/>
        <w:spacing w:after="12"/>
      </w:pPr>
      <w:r>
        <w:t>Development, Staging and Production use separate credentials/secrets; Production credentials are not reused in lower environments.</w:t>
      </w:r>
    </w:p>
    <w:p>
      <w:pPr>
        <w:pStyle w:val="Heading1"/>
      </w:pPr>
      <w:r>
        <w:t>9. Input validation and integrity</w:t>
      </w:r>
    </w:p>
    <w:p>
      <w:pPr>
        <w:pStyle w:val="ListBullet"/>
        <w:spacing w:after="12"/>
      </w:pPr>
      <w:r>
        <w:t>Server validates client-controlled IDs, enums, lengths, numeric constraints, entityVersion and workflow transitions.</w:t>
      </w:r>
    </w:p>
    <w:p>
      <w:pPr>
        <w:pStyle w:val="ListBullet"/>
        <w:spacing w:after="12"/>
      </w:pPr>
      <w:r>
        <w:t>SQL access uses parameterized/prepared queries or safe ORM binding; client input is never concatenated into executable SQL.</w:t>
      </w:r>
    </w:p>
    <w:p>
      <w:pPr>
        <w:pStyle w:val="ListBullet"/>
        <w:spacing w:after="12"/>
      </w:pPr>
      <w:r>
        <w:t>Client text is treated as data, not executable markup/code; render/export layers encode/escape for their format.</w:t>
      </w:r>
    </w:p>
    <w:p>
      <w:pPr>
        <w:pStyle w:val="ListBullet"/>
        <w:spacing w:after="12"/>
      </w:pPr>
      <w:r>
        <w:t>PHOTO becomes official Evidence only after canonical JPEG processing and MIME/size/SHA-256 verification defined by Doc15.</w:t>
      </w:r>
    </w:p>
    <w:p>
      <w:pPr>
        <w:pStyle w:val="ListBullet"/>
        <w:spacing w:after="12"/>
      </w:pPr>
      <w:r>
        <w:t>Offline/sync payloads cannot bypass immutability, history or authorization rules.</w:t>
      </w:r>
    </w:p>
    <w:p>
      <w:pPr>
        <w:pStyle w:val="ListBullet"/>
        <w:spacing w:after="12"/>
      </w:pPr>
      <w:r>
        <w:t>Conflict resolution provides no force-overwrite and cannot turn stale local state into authoritative state.</w:t>
      </w:r>
    </w:p>
    <w:p>
      <w:pPr>
        <w:pStyle w:val="Heading1"/>
      </w:pPr>
      <w:r>
        <w:t>10. Authorization enforcement</w:t>
      </w:r>
    </w:p>
    <w:p>
      <w:pPr>
        <w:pStyle w:val="ListBullet"/>
        <w:spacing w:after="12"/>
      </w:pPr>
      <w:r>
        <w:t>Authorization is evaluated from identity, User lifecycle, OrganizationMembership, role, scope, Campaign/Team rules and workflow state.</w:t>
      </w:r>
    </w:p>
    <w:p>
      <w:pPr>
        <w:pStyle w:val="ListBullet"/>
        <w:spacing w:after="12"/>
      </w:pPr>
      <w:r>
        <w:t>Admin does not automatically receive Stocktaking mutation permission; Campaign Team membership remains required.</w:t>
      </w:r>
    </w:p>
    <w:p>
      <w:pPr>
        <w:pStyle w:val="ListBullet"/>
        <w:spacing w:after="12"/>
      </w:pPr>
      <w:r>
        <w:t>Standard never receives Admin-only administration or Audit Trail access.</w:t>
      </w:r>
    </w:p>
    <w:p>
      <w:pPr>
        <w:pStyle w:val="ListBullet"/>
        <w:spacing w:after="12"/>
      </w:pPr>
      <w:r>
        <w:t>Offline package possession does not supersede later-known revocation.</w:t>
      </w:r>
    </w:p>
    <w:p>
      <w:pPr>
        <w:pStyle w:val="ListBullet"/>
        <w:spacing w:after="12"/>
      </w:pPr>
      <w:r>
        <w:t>Protected remote operations are re-authorized at the server even when the Android UI previously allowed the action.</w:t>
      </w:r>
    </w:p>
    <w:p>
      <w:pPr>
        <w:pStyle w:val="ListBullet"/>
        <w:spacing w:after="12"/>
      </w:pPr>
      <w:r>
        <w:t>Resource identifiers are never treated as capabilities.</w:t>
      </w:r>
    </w:p>
    <w:p>
      <w:pPr>
        <w:pStyle w:val="Heading1"/>
      </w:pPr>
      <w:r>
        <w:t>11. Audit architecture</w:t>
      </w:r>
    </w:p>
    <w:p>
      <w:pPr>
        <w:pStyle w:val="ListBullet"/>
        <w:spacing w:after="12"/>
      </w:pPr>
      <w:r>
        <w:t>Only security-relevant events with accountability/detection value are audited; routine technical requests do not become AuditEvents.</w:t>
      </w:r>
    </w:p>
    <w:p>
      <w:pPr>
        <w:pStyle w:val="ListBullet"/>
        <w:spacing w:after="12"/>
      </w:pPr>
      <w:r>
        <w:t>Successful Sign In generates a security AuditEvent without storing password/token material.</w:t>
      </w:r>
    </w:p>
    <w:p>
      <w:pPr>
        <w:pStyle w:val="ListBullet"/>
        <w:spacing w:after="12"/>
      </w:pPr>
      <w:r>
        <w:t>Failed Sign In is recorded in security telemetry for abuse detection; a business AuditEvent is not mandatory for every wrong password.</w:t>
      </w:r>
    </w:p>
    <w:p>
      <w:pPr>
        <w:pStyle w:val="ListBullet"/>
        <w:spacing w:after="12"/>
      </w:pPr>
      <w:r>
        <w:t>Sign Out, completed password reset, User enable/disable, Membership disable/reactivate and role change are auditable.</w:t>
      </w:r>
    </w:p>
    <w:p>
      <w:pPr>
        <w:pStyle w:val="ListBullet"/>
        <w:spacing w:after="12"/>
      </w:pPr>
      <w:r>
        <w:t>Sensitive authorization denials may generate security telemetry/event; routine UI denials do not pollute Audit Trail.</w:t>
      </w:r>
    </w:p>
    <w:p>
      <w:pPr>
        <w:pStyle w:val="ListBullet"/>
        <w:spacing w:after="12"/>
      </w:pPr>
      <w:r>
        <w:t>Campaign Team changes, Reset Validation, Issue resolution/reopen, Campaign Close, master-data lifecycle changes and report/export events remain auditable under their frozen contracts.</w:t>
      </w:r>
    </w:p>
    <w:p>
      <w:pPr>
        <w:pStyle w:val="ListBullet"/>
        <w:spacing w:after="12"/>
      </w:pPr>
      <w:r>
        <w:t>AuditEvent preserves stable actor identity and frozen actor display information where history requires it.</w:t>
      </w:r>
    </w:p>
    <w:p>
      <w:pPr>
        <w:pStyle w:val="ListBullet"/>
        <w:spacing w:after="12"/>
      </w:pPr>
      <w:r>
        <w:t>actorUserId may be null only for SYSTEM; system/source context must identify the actor context.</w:t>
      </w:r>
    </w:p>
    <w:p>
      <w:pPr>
        <w:pStyle w:val="ListBullet"/>
        <w:spacing w:after="12"/>
      </w:pPr>
      <w:r>
        <w:t>Audit records never contain passwords, access/refresh/reset tokens, Authorization headers, DB/object-store credentials or cryptographic keys.</w:t>
      </w:r>
    </w:p>
    <w:p>
      <w:pPr>
        <w:pStyle w:val="ListBullet"/>
        <w:spacing w:after="12"/>
      </w:pPr>
      <w:r>
        <w:t>PHOTO bytes and other binary payloads never enter AuditEvent; only approved identifiers/metadata may appear.</w:t>
      </w:r>
    </w:p>
    <w:p>
      <w:pPr>
        <w:pStyle w:val="ListBullet"/>
        <w:spacing w:after="12"/>
      </w:pPr>
      <w:r>
        <w:t>Before/after values are limited to relevant fields and redact secret/sensitive fields.</w:t>
      </w:r>
    </w:p>
    <w:p>
      <w:pPr>
        <w:pStyle w:val="ListBullet"/>
        <w:spacing w:after="12"/>
      </w:pPr>
      <w:r>
        <w:t>AuditEvent is append-only; arbitrary correction/deletion of historical events is forbidden.</w:t>
      </w:r>
    </w:p>
    <w:p>
      <w:pPr>
        <w:pStyle w:val="ListBullet"/>
        <w:spacing w:after="12"/>
      </w:pPr>
      <w:r>
        <w:t>Server-accepted actions use server-authoritative UTC occurredAt; offline event context may preserve client occurrence separately without falsifying server acceptance time.</w:t>
      </w:r>
    </w:p>
    <w:p>
      <w:pPr>
        <w:pStyle w:val="ListBullet"/>
        <w:spacing w:after="12"/>
      </w:pPr>
      <w:r>
        <w:t>Correlation IDs may connect requests, AuditEvent and telemetry but contain no PII and are not credentials.</w:t>
      </w:r>
    </w:p>
    <w:p>
      <w:pPr>
        <w:pStyle w:val="Heading2"/>
      </w:pPr>
      <w:r>
        <w:t>11.1 Audit versus telemetry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1"/>
        <w:gridCol w:w="5151"/>
        <w:gridCol w:w="5151"/>
      </w:tblGrid>
      <w:tr>
        <w:trPr>
          <w:tblHeader w:val="true"/>
          <w:cantSplit/>
        </w:trPr>
        <w:tc>
          <w:tcPr>
            <w:tcW w:type="dxa" w:w="5151"/>
            <w:shd w:fill="D9EAF7"/>
          </w:tcPr>
          <w:p>
            <w:r>
              <w:rPr>
                <w:b/>
                <w:sz w:val="13"/>
              </w:rPr>
              <w:t>Concern</w:t>
            </w:r>
          </w:p>
        </w:tc>
        <w:tc>
          <w:tcPr>
            <w:tcW w:type="dxa" w:w="5151"/>
            <w:shd w:fill="D9EAF7"/>
          </w:tcPr>
          <w:p>
            <w:r>
              <w:rPr>
                <w:b/>
                <w:sz w:val="13"/>
              </w:rPr>
              <w:t>Audit Trail</w:t>
            </w:r>
          </w:p>
        </w:tc>
        <w:tc>
          <w:tcPr>
            <w:tcW w:type="dxa" w:w="5151"/>
            <w:shd w:fill="D9EAF7"/>
          </w:tcPr>
          <w:p>
            <w:r>
              <w:rPr>
                <w:b/>
                <w:sz w:val="13"/>
              </w:rPr>
              <w:t>Security/operations telemetry</w:t>
            </w:r>
          </w:p>
        </w:tc>
      </w:tr>
      <w:tr>
        <w:trPr>
          <w:cantSplit/>
        </w:trPr>
        <w:tc>
          <w:tcPr>
            <w:tcW w:type="dxa" w:w="5151"/>
            <w:vAlign w:val="top"/>
          </w:tcPr>
          <w:p>
            <w:pPr>
              <w:spacing w:after="0"/>
            </w:pPr>
            <w:r>
              <w:rPr>
                <w:sz w:val="11"/>
              </w:rPr>
              <w:t>Purpose</w:t>
            </w:r>
          </w:p>
        </w:tc>
        <w:tc>
          <w:tcPr>
            <w:tcW w:type="dxa" w:w="5151"/>
            <w:vAlign w:val="top"/>
          </w:tcPr>
          <w:p>
            <w:pPr>
              <w:spacing w:after="0"/>
            </w:pPr>
            <w:r>
              <w:rPr>
                <w:sz w:val="11"/>
              </w:rPr>
              <w:t>Accountability and immutable business/security history</w:t>
            </w:r>
          </w:p>
        </w:tc>
        <w:tc>
          <w:tcPr>
            <w:tcW w:type="dxa" w:w="5151"/>
            <w:vAlign w:val="top"/>
          </w:tcPr>
          <w:p>
            <w:pPr>
              <w:spacing w:after="0"/>
            </w:pPr>
            <w:r>
              <w:rPr>
                <w:sz w:val="11"/>
              </w:rPr>
              <w:t>Detection, diagnostics and operations</w:t>
            </w:r>
          </w:p>
        </w:tc>
      </w:tr>
      <w:tr>
        <w:trPr>
          <w:cantSplit/>
        </w:trPr>
        <w:tc>
          <w:tcPr>
            <w:tcW w:type="dxa" w:w="5151"/>
            <w:vAlign w:val="top"/>
          </w:tcPr>
          <w:p>
            <w:pPr>
              <w:spacing w:after="0"/>
            </w:pPr>
            <w:r>
              <w:rPr>
                <w:sz w:val="11"/>
              </w:rPr>
              <w:t>Retention</w:t>
            </w:r>
          </w:p>
        </w:tc>
        <w:tc>
          <w:tcPr>
            <w:tcW w:type="dxa" w:w="5151"/>
            <w:vAlign w:val="top"/>
          </w:tcPr>
          <w:p>
            <w:pPr>
              <w:spacing w:after="0"/>
            </w:pPr>
            <w:r>
              <w:rPr>
                <w:sz w:val="11"/>
              </w:rPr>
              <w:t>Critical events follow long-term frozen retention</w:t>
            </w:r>
          </w:p>
        </w:tc>
        <w:tc>
          <w:tcPr>
            <w:tcW w:type="dxa" w:w="5151"/>
            <w:vAlign w:val="top"/>
          </w:tcPr>
          <w:p>
            <w:pPr>
              <w:spacing w:after="0"/>
            </w:pPr>
            <w:r>
              <w:rPr>
                <w:sz w:val="11"/>
              </w:rPr>
              <w:t>Operational retention according to Doc19/Doc20</w:t>
            </w:r>
          </w:p>
        </w:tc>
      </w:tr>
      <w:tr>
        <w:trPr>
          <w:cantSplit/>
        </w:trPr>
        <w:tc>
          <w:tcPr>
            <w:tcW w:type="dxa" w:w="5151"/>
            <w:vAlign w:val="top"/>
          </w:tcPr>
          <w:p>
            <w:pPr>
              <w:spacing w:after="0"/>
            </w:pPr>
            <w:r>
              <w:rPr>
                <w:sz w:val="11"/>
              </w:rPr>
              <w:t>Payload</w:t>
            </w:r>
          </w:p>
        </w:tc>
        <w:tc>
          <w:tcPr>
            <w:tcW w:type="dxa" w:w="5151"/>
            <w:vAlign w:val="top"/>
          </w:tcPr>
          <w:p>
            <w:pPr>
              <w:spacing w:after="0"/>
            </w:pPr>
            <w:r>
              <w:rPr>
                <w:sz w:val="11"/>
              </w:rPr>
              <w:t>Structured approved event metadata; no secrets/binaries</w:t>
            </w:r>
          </w:p>
        </w:tc>
        <w:tc>
          <w:tcPr>
            <w:tcW w:type="dxa" w:w="5151"/>
            <w:vAlign w:val="top"/>
          </w:tcPr>
          <w:p>
            <w:pPr>
              <w:spacing w:after="0"/>
            </w:pPr>
            <w:r>
              <w:rPr>
                <w:sz w:val="11"/>
              </w:rPr>
              <w:t>Sanitized technical signals; no secrets/full business payloads</w:t>
            </w:r>
          </w:p>
        </w:tc>
      </w:tr>
      <w:tr>
        <w:trPr>
          <w:cantSplit/>
        </w:trPr>
        <w:tc>
          <w:tcPr>
            <w:tcW w:type="dxa" w:w="5151"/>
            <w:vAlign w:val="top"/>
          </w:tcPr>
          <w:p>
            <w:pPr>
              <w:spacing w:after="0"/>
            </w:pPr>
            <w:r>
              <w:rPr>
                <w:sz w:val="11"/>
              </w:rPr>
              <w:t>Failed Sign In</w:t>
            </w:r>
          </w:p>
        </w:tc>
        <w:tc>
          <w:tcPr>
            <w:tcW w:type="dxa" w:w="5151"/>
            <w:vAlign w:val="top"/>
          </w:tcPr>
          <w:p>
            <w:pPr>
              <w:spacing w:after="0"/>
            </w:pPr>
            <w:r>
              <w:rPr>
                <w:sz w:val="11"/>
              </w:rPr>
              <w:t>Not necessarily one business event per failure</w:t>
            </w:r>
          </w:p>
        </w:tc>
        <w:tc>
          <w:tcPr>
            <w:tcW w:type="dxa" w:w="5151"/>
            <w:vAlign w:val="top"/>
          </w:tcPr>
          <w:p>
            <w:pPr>
              <w:spacing w:after="0"/>
            </w:pPr>
            <w:r>
              <w:rPr>
                <w:sz w:val="11"/>
              </w:rPr>
              <w:t>Captured for abuse detection</w:t>
            </w:r>
          </w:p>
        </w:tc>
      </w:tr>
      <w:tr>
        <w:trPr>
          <w:cantSplit/>
        </w:trPr>
        <w:tc>
          <w:tcPr>
            <w:tcW w:type="dxa" w:w="5151"/>
            <w:vAlign w:val="top"/>
          </w:tcPr>
          <w:p>
            <w:pPr>
              <w:spacing w:after="0"/>
            </w:pPr>
            <w:r>
              <w:rPr>
                <w:sz w:val="11"/>
              </w:rPr>
              <w:t>Routine sync retry noise</w:t>
            </w:r>
          </w:p>
        </w:tc>
        <w:tc>
          <w:tcPr>
            <w:tcW w:type="dxa" w:w="5151"/>
            <w:vAlign w:val="top"/>
          </w:tcPr>
          <w:p>
            <w:pPr>
              <w:spacing w:after="0"/>
            </w:pPr>
            <w:r>
              <w:rPr>
                <w:sz w:val="11"/>
              </w:rPr>
              <w:t>Not fabricated as AuditEvent</w:t>
            </w:r>
          </w:p>
        </w:tc>
        <w:tc>
          <w:tcPr>
            <w:tcW w:type="dxa" w:w="5151"/>
            <w:vAlign w:val="top"/>
          </w:tcPr>
          <w:p>
            <w:pPr>
              <w:spacing w:after="0"/>
            </w:pPr>
            <w:r>
              <w:rPr>
                <w:sz w:val="11"/>
              </w:rPr>
              <w:t>May be represented as aggregate/sanitized telemetry</w:t>
            </w:r>
          </w:p>
        </w:tc>
      </w:tr>
    </w:tbl>
    <w:p>
      <w:pPr>
        <w:spacing w:after="20"/>
      </w:pPr>
    </w:p>
    <w:p>
      <w:pPr>
        <w:pStyle w:val="Heading1"/>
      </w:pPr>
      <w:r>
        <w:t>12. Privacy and data minimization</w:t>
      </w:r>
    </w:p>
    <w:p>
      <w:pPr>
        <w:pStyle w:val="ListBullet"/>
        <w:spacing w:after="12"/>
      </w:pPr>
      <w:r>
        <w:t>V6 applies data minimization: collect only data necessary for authentication, authorization, inventory workflow, auditability, reporting and support/operations.</w:t>
      </w:r>
    </w:p>
    <w:p>
      <w:pPr>
        <w:pStyle w:val="ListBullet"/>
        <w:spacing w:after="12"/>
      </w:pPr>
      <w:r>
        <w:t>Principal personal data includes Full Name, Email, OrganizationMembership/Role, Campaign Team association and actor attribution in workflow/audit history.</w:t>
      </w:r>
    </w:p>
    <w:p>
      <w:pPr>
        <w:pStyle w:val="ListBullet"/>
        <w:spacing w:after="12"/>
      </w:pPr>
      <w:r>
        <w:t>V6 does not require date of birth, sex, personal address, personal phone number, biometric data or precise location.</w:t>
      </w:r>
    </w:p>
    <w:p>
      <w:pPr>
        <w:pStyle w:val="ListBullet"/>
        <w:spacing w:after="12"/>
      </w:pPr>
      <w:r>
        <w:t>GPS/location permission is not required for V6 Evidence and is not collected automatically.</w:t>
      </w:r>
    </w:p>
    <w:p>
      <w:pPr>
        <w:pStyle w:val="ListBullet"/>
        <w:spacing w:after="12"/>
      </w:pPr>
      <w:r>
        <w:t>DeviceInstallation uses an app-generated installation UUID; IMEI, hardware serial and advertising ID are excluded.</w:t>
      </w:r>
    </w:p>
    <w:p>
      <w:pPr>
        <w:pStyle w:val="ListBullet"/>
        <w:spacing w:after="12"/>
      </w:pPr>
      <w:r>
        <w:t>PHOTO normalization removes unnecessary EXIF; GPS/device model/serial metadata does not become business Evidence metadata.</w:t>
      </w:r>
    </w:p>
    <w:p>
      <w:pPr>
        <w:pStyle w:val="ListBullet"/>
        <w:spacing w:after="12"/>
      </w:pPr>
      <w:r>
        <w:t>Original filesystem paths are not stored as business metadata.</w:t>
      </w:r>
    </w:p>
    <w:p>
      <w:pPr>
        <w:pStyle w:val="ListBullet"/>
        <w:spacing w:after="12"/>
      </w:pPr>
      <w:r>
        <w:t>Disabling a User does not erase historical actor attribution; stable identity and frozen display context remain.</w:t>
      </w:r>
    </w:p>
    <w:p>
      <w:pPr>
        <w:pStyle w:val="ListBullet"/>
        <w:spacing w:after="12"/>
      </w:pPr>
      <w:r>
        <w:t>Profile data no longer operationally required may follow retention/deletion policy, but retained immutable business/audit attribution is preserved.</w:t>
      </w:r>
    </w:p>
    <w:p>
      <w:pPr>
        <w:pStyle w:val="ListBullet"/>
        <w:spacing w:after="12"/>
      </w:pPr>
      <w:r>
        <w:t>Tenant data is not used for cross-tenant profiling or advertising in V6.</w:t>
      </w:r>
    </w:p>
    <w:p>
      <w:pPr>
        <w:pStyle w:val="ListBullet"/>
        <w:spacing w:after="12"/>
      </w:pPr>
      <w:r>
        <w:t>Operational analytics, if introduced, never receive passwords, tokens, Evidence binaries, arbitrary Notes, full reports or unrestricted business payloads.</w:t>
      </w:r>
    </w:p>
    <w:p>
      <w:pPr>
        <w:pStyle w:val="ListBullet"/>
        <w:spacing w:after="12"/>
      </w:pPr>
      <w:r>
        <w:t>Crash/diagnostic collection is minimized and redacted before external telemetry.</w:t>
      </w:r>
    </w:p>
    <w:p>
      <w:pPr>
        <w:pStyle w:val="ListBullet"/>
        <w:spacing w:after="12"/>
      </w:pPr>
      <w:r>
        <w:t>Privacy-sensitive content is not automatically copied to clipboard, public storage or external share targets.</w:t>
      </w:r>
    </w:p>
    <w:p>
      <w:pPr>
        <w:pStyle w:val="ListBullet"/>
        <w:spacing w:after="12"/>
      </w:pPr>
      <w:r>
        <w:t>Authorized PDF/CSV exports may include necessary business/personal attribution; creation remains explicit, authorized and audited.</w:t>
      </w:r>
    </w:p>
    <w:p>
      <w:pPr>
        <w:pStyle w:val="ListBullet"/>
        <w:spacing w:after="12"/>
      </w:pPr>
      <w:r>
        <w:t>V6 has no self-service deletion that destroys immutable corporate inventory/audit history; such requests follow organization/legal retention processes.</w:t>
      </w:r>
    </w:p>
    <w:p>
      <w:pPr>
        <w:pStyle w:val="ListBullet"/>
        <w:spacing w:after="12"/>
      </w:pPr>
      <w:r>
        <w:t>Final retention/deletion is governed by Doc19 and must not create dangling references or falsify retained history.</w:t>
      </w:r>
    </w:p>
    <w:p>
      <w:pPr>
        <w:pStyle w:val="Heading2"/>
      </w:pPr>
      <w:r>
        <w:t>12.1 Personal/device data inventory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726"/>
        <w:gridCol w:w="7726"/>
      </w:tblGrid>
      <w:tr>
        <w:trPr>
          <w:tblHeader w:val="true"/>
          <w:cantSplit/>
        </w:trPr>
        <w:tc>
          <w:tcPr>
            <w:tcW w:type="dxa" w:w="7726"/>
            <w:shd w:fill="D9EAF7"/>
          </w:tcPr>
          <w:p>
            <w:r>
              <w:rPr>
                <w:b/>
                <w:sz w:val="13"/>
              </w:rPr>
              <w:t>Data</w:t>
            </w:r>
          </w:p>
        </w:tc>
        <w:tc>
          <w:tcPr>
            <w:tcW w:type="dxa" w:w="7726"/>
            <w:shd w:fill="D9EAF7"/>
          </w:tcPr>
          <w:p>
            <w:r>
              <w:rPr>
                <w:b/>
                <w:sz w:val="13"/>
              </w:rPr>
              <w:t>V6 treatment</w:t>
            </w:r>
          </w:p>
        </w:tc>
      </w:tr>
      <w:tr>
        <w:trPr>
          <w:cantSplit/>
        </w:trPr>
        <w:tc>
          <w:tcPr>
            <w:tcW w:type="dxa" w:w="7726"/>
            <w:vAlign w:val="top"/>
          </w:tcPr>
          <w:p>
            <w:pPr>
              <w:spacing w:after="0"/>
            </w:pPr>
            <w:r>
              <w:rPr>
                <w:sz w:val="12"/>
              </w:rPr>
              <w:t>Full Name / Email</w:t>
            </w:r>
          </w:p>
        </w:tc>
        <w:tc>
          <w:tcPr>
            <w:tcW w:type="dxa" w:w="7726"/>
            <w:vAlign w:val="top"/>
          </w:tcPr>
          <w:p>
            <w:pPr>
              <w:spacing w:after="0"/>
            </w:pPr>
            <w:r>
              <w:rPr>
                <w:sz w:val="12"/>
              </w:rPr>
              <w:t>Required identity/account data; authorization and attribution.</w:t>
            </w:r>
          </w:p>
        </w:tc>
      </w:tr>
      <w:tr>
        <w:trPr>
          <w:cantSplit/>
        </w:trPr>
        <w:tc>
          <w:tcPr>
            <w:tcW w:type="dxa" w:w="7726"/>
            <w:vAlign w:val="top"/>
          </w:tcPr>
          <w:p>
            <w:pPr>
              <w:spacing w:after="0"/>
            </w:pPr>
            <w:r>
              <w:rPr>
                <w:sz w:val="12"/>
              </w:rPr>
              <w:t>Role / Membership / Campaign Team</w:t>
            </w:r>
          </w:p>
        </w:tc>
        <w:tc>
          <w:tcPr>
            <w:tcW w:type="dxa" w:w="7726"/>
            <w:vAlign w:val="top"/>
          </w:tcPr>
          <w:p>
            <w:pPr>
              <w:spacing w:after="0"/>
            </w:pPr>
            <w:r>
              <w:rPr>
                <w:sz w:val="12"/>
              </w:rPr>
              <w:t>Required authorization context.</w:t>
            </w:r>
          </w:p>
        </w:tc>
      </w:tr>
      <w:tr>
        <w:trPr>
          <w:cantSplit/>
        </w:trPr>
        <w:tc>
          <w:tcPr>
            <w:tcW w:type="dxa" w:w="7726"/>
            <w:vAlign w:val="top"/>
          </w:tcPr>
          <w:p>
            <w:pPr>
              <w:spacing w:after="0"/>
            </w:pPr>
            <w:r>
              <w:rPr>
                <w:sz w:val="12"/>
              </w:rPr>
              <w:t>Historical actor attribution</w:t>
            </w:r>
          </w:p>
        </w:tc>
        <w:tc>
          <w:tcPr>
            <w:tcW w:type="dxa" w:w="7726"/>
            <w:vAlign w:val="top"/>
          </w:tcPr>
          <w:p>
            <w:pPr>
              <w:spacing w:after="0"/>
            </w:pPr>
            <w:r>
              <w:rPr>
                <w:sz w:val="11"/>
              </w:rPr>
              <w:t>Retained for every immutable business/audit record whose frozen contract carries actor attribution.</w:t>
            </w:r>
          </w:p>
        </w:tc>
      </w:tr>
      <w:tr>
        <w:trPr>
          <w:cantSplit/>
        </w:trPr>
        <w:tc>
          <w:tcPr>
            <w:tcW w:type="dxa" w:w="7726"/>
            <w:vAlign w:val="top"/>
          </w:tcPr>
          <w:p>
            <w:pPr>
              <w:spacing w:after="0"/>
            </w:pPr>
            <w:r>
              <w:rPr>
                <w:sz w:val="12"/>
              </w:rPr>
              <w:t>Precise GPS</w:t>
            </w:r>
          </w:p>
        </w:tc>
        <w:tc>
          <w:tcPr>
            <w:tcW w:type="dxa" w:w="7726"/>
            <w:vAlign w:val="top"/>
          </w:tcPr>
          <w:p>
            <w:pPr>
              <w:spacing w:after="0"/>
            </w:pPr>
            <w:r>
              <w:rPr>
                <w:sz w:val="12"/>
              </w:rPr>
              <w:t>Not required/automatically collected.</w:t>
            </w:r>
          </w:p>
        </w:tc>
      </w:tr>
      <w:tr>
        <w:trPr>
          <w:cantSplit/>
        </w:trPr>
        <w:tc>
          <w:tcPr>
            <w:tcW w:type="dxa" w:w="7726"/>
            <w:vAlign w:val="top"/>
          </w:tcPr>
          <w:p>
            <w:pPr>
              <w:spacing w:after="0"/>
            </w:pPr>
            <w:r>
              <w:rPr>
                <w:sz w:val="12"/>
              </w:rPr>
              <w:t>IMEI / hardware serial / advertising ID</w:t>
            </w:r>
          </w:p>
        </w:tc>
        <w:tc>
          <w:tcPr>
            <w:tcW w:type="dxa" w:w="7726"/>
            <w:vAlign w:val="top"/>
          </w:tcPr>
          <w:p>
            <w:pPr>
              <w:spacing w:after="0"/>
            </w:pPr>
            <w:r>
              <w:rPr>
                <w:sz w:val="12"/>
              </w:rPr>
              <w:t>Not collected for DeviceInstallation.</w:t>
            </w:r>
          </w:p>
        </w:tc>
      </w:tr>
      <w:tr>
        <w:trPr>
          <w:cantSplit/>
        </w:trPr>
        <w:tc>
          <w:tcPr>
            <w:tcW w:type="dxa" w:w="7726"/>
            <w:vAlign w:val="top"/>
          </w:tcPr>
          <w:p>
            <w:pPr>
              <w:spacing w:after="0"/>
            </w:pPr>
            <w:r>
              <w:rPr>
                <w:sz w:val="12"/>
              </w:rPr>
              <w:t>DeviceInstallation ID</w:t>
            </w:r>
          </w:p>
        </w:tc>
        <w:tc>
          <w:tcPr>
            <w:tcW w:type="dxa" w:w="7726"/>
            <w:vAlign w:val="top"/>
          </w:tcPr>
          <w:p>
            <w:pPr>
              <w:spacing w:after="0"/>
            </w:pPr>
            <w:r>
              <w:rPr>
                <w:sz w:val="12"/>
              </w:rPr>
              <w:t>App-generated installation UUID.</w:t>
            </w:r>
          </w:p>
        </w:tc>
      </w:tr>
      <w:tr>
        <w:trPr>
          <w:cantSplit/>
        </w:trPr>
        <w:tc>
          <w:tcPr>
            <w:tcW w:type="dxa" w:w="7726"/>
            <w:vAlign w:val="top"/>
          </w:tcPr>
          <w:p>
            <w:pPr>
              <w:spacing w:after="0"/>
            </w:pPr>
            <w:r>
              <w:rPr>
                <w:sz w:val="12"/>
              </w:rPr>
              <w:t>PHOTO EXIF</w:t>
            </w:r>
          </w:p>
        </w:tc>
        <w:tc>
          <w:tcPr>
            <w:tcW w:type="dxa" w:w="7726"/>
            <w:vAlign w:val="top"/>
          </w:tcPr>
          <w:p>
            <w:pPr>
              <w:spacing w:after="0"/>
            </w:pPr>
            <w:r>
              <w:rPr>
                <w:sz w:val="12"/>
              </w:rPr>
              <w:t>Unnecessary EXIF stripped; GPS/device identifiers excluded.</w:t>
            </w:r>
          </w:p>
        </w:tc>
      </w:tr>
      <w:tr>
        <w:trPr>
          <w:cantSplit/>
        </w:trPr>
        <w:tc>
          <w:tcPr>
            <w:tcW w:type="dxa" w:w="7726"/>
            <w:vAlign w:val="top"/>
          </w:tcPr>
          <w:p>
            <w:pPr>
              <w:spacing w:after="0"/>
            </w:pPr>
            <w:r>
              <w:rPr>
                <w:sz w:val="12"/>
              </w:rPr>
              <w:t>Original PHOTO filesystem path</w:t>
            </w:r>
          </w:p>
        </w:tc>
        <w:tc>
          <w:tcPr>
            <w:tcW w:type="dxa" w:w="7726"/>
            <w:vAlign w:val="top"/>
          </w:tcPr>
          <w:p>
            <w:pPr>
              <w:spacing w:after="0"/>
            </w:pPr>
            <w:r>
              <w:rPr>
                <w:sz w:val="12"/>
              </w:rPr>
              <w:t>Not business metadata.</w:t>
            </w:r>
          </w:p>
        </w:tc>
      </w:tr>
    </w:tbl>
    <w:p>
      <w:pPr>
        <w:spacing w:after="20"/>
      </w:pPr>
    </w:p>
    <w:p>
      <w:pPr>
        <w:pStyle w:val="Heading1"/>
      </w:pPr>
      <w:r>
        <w:t>13. Logging, diagnostics and observability</w:t>
      </w:r>
    </w:p>
    <w:p>
      <w:pPr>
        <w:pStyle w:val="ListBullet"/>
        <w:spacing w:after="12"/>
      </w:pPr>
      <w:r>
        <w:t>Production uses structured logging with explicit redaction.</w:t>
      </w:r>
    </w:p>
    <w:p>
      <w:pPr>
        <w:pStyle w:val="ListBullet"/>
        <w:spacing w:after="12"/>
      </w:pPr>
      <w:r>
        <w:t>Logs never contain passwords, tokens, Authorization/Cookie headers, cryptographic keys or secret configuration.</w:t>
      </w:r>
    </w:p>
    <w:p>
      <w:pPr>
        <w:pStyle w:val="ListBullet"/>
        <w:spacing w:after="12"/>
      </w:pPr>
      <w:r>
        <w:t>Logs never contain PHOTO bytes/base64, complete Evidence binaries or database dumps.</w:t>
      </w:r>
    </w:p>
    <w:p>
      <w:pPr>
        <w:pStyle w:val="ListBullet"/>
        <w:spacing w:after="12"/>
      </w:pPr>
      <w:r>
        <w:t>Arbitrary Note text and full request/response business payloads are not logged by default.</w:t>
      </w:r>
    </w:p>
    <w:p>
      <w:pPr>
        <w:pStyle w:val="ListBullet"/>
        <w:spacing w:after="12"/>
      </w:pPr>
      <w:r>
        <w:t>Safe context may include timestamp, environment, component, severity, correlationId, endpoint/operation ID, sanitized error code, duration and non-secret technical IDs.</w:t>
      </w:r>
    </w:p>
    <w:p>
      <w:pPr>
        <w:pStyle w:val="ListBullet"/>
        <w:spacing w:after="12"/>
      </w:pPr>
      <w:r>
        <w:t>Email/full user display data is not logged by default when stable internal userId is sufficient.</w:t>
      </w:r>
    </w:p>
    <w:p>
      <w:pPr>
        <w:pStyle w:val="ListBullet"/>
        <w:spacing w:after="12"/>
      </w:pPr>
      <w:r>
        <w:t>Protected server telemetry may contain stack traces for unexpected internal errors; API clients never receive them.</w:t>
      </w:r>
    </w:p>
    <w:p>
      <w:pPr>
        <w:pStyle w:val="ListBullet"/>
        <w:spacing w:after="12"/>
      </w:pPr>
      <w:r>
        <w:t>Production Android builds do not leave verbose/debug payload logging enabled for sensitive workflows.</w:t>
      </w:r>
    </w:p>
    <w:p>
      <w:pPr>
        <w:pStyle w:val="ListBullet"/>
        <w:spacing w:after="12"/>
      </w:pPr>
      <w:r>
        <w:t>Diagnostic packages are explicit and exclude auth secrets, database-encryption keys, raw credential stores and PHOTO binaries.</w:t>
      </w:r>
    </w:p>
    <w:p>
      <w:pPr>
        <w:pStyle w:val="ListBullet"/>
        <w:spacing w:after="12"/>
      </w:pPr>
      <w:r>
        <w:t>Diagnostic packages may include app version, environment identifier, non-persistent compatibility metadata, sanitized sync state/counts, error codes and correlation references.</w:t>
      </w:r>
    </w:p>
    <w:p>
      <w:pPr>
        <w:pStyle w:val="ListBullet"/>
        <w:spacing w:after="12"/>
      </w:pPr>
      <w:r>
        <w:t>Diagnostic export supports review/redaction before support transfer when business identifiers may be present.</w:t>
      </w:r>
    </w:p>
    <w:p>
      <w:pPr>
        <w:pStyle w:val="ListBullet"/>
        <w:spacing w:after="12"/>
      </w:pPr>
      <w:r>
        <w:t>SyncOperation/SyncConflict/Audit before-after payloads are not copied wholesale into generic production logs.</w:t>
      </w:r>
    </w:p>
    <w:p>
      <w:pPr>
        <w:pStyle w:val="ListBullet"/>
        <w:spacing w:after="12"/>
      </w:pPr>
      <w:r>
        <w:t>Security telemetry and business Audit Trail are separate: telemetry serves detection/operations; Audit Trail serves accountability/history.</w:t>
      </w:r>
    </w:p>
    <w:p>
      <w:pPr>
        <w:pStyle w:val="ListBullet"/>
        <w:spacing w:after="12"/>
      </w:pPr>
      <w:r>
        <w:t>Observability must detect authentication abuse, abnormal authorization denials, sync-failure spikes, report-integrity errors, repeated Evidence upload/hash failures and unexpected server errors.</w:t>
      </w:r>
    </w:p>
    <w:p>
      <w:pPr>
        <w:pStyle w:val="Heading2"/>
      </w:pPr>
      <w:r>
        <w:t>13.1 Forbidden production log/diagnostic content</w:t>
      </w:r>
    </w:p>
    <w:p>
      <w:pPr>
        <w:pStyle w:val="ListBullet"/>
        <w:spacing w:after="12"/>
      </w:pPr>
      <w:r>
        <w:t>Passwords and reset/access/refresh tokens</w:t>
      </w:r>
    </w:p>
    <w:p>
      <w:pPr>
        <w:pStyle w:val="ListBullet"/>
        <w:spacing w:after="12"/>
      </w:pPr>
      <w:r>
        <w:t>Authorization/Cookie headers</w:t>
      </w:r>
    </w:p>
    <w:p>
      <w:pPr>
        <w:pStyle w:val="ListBullet"/>
        <w:spacing w:after="12"/>
      </w:pPr>
      <w:r>
        <w:t>Cryptographic/database/object-storage credentials and keys</w:t>
      </w:r>
    </w:p>
    <w:p>
      <w:pPr>
        <w:pStyle w:val="ListBullet"/>
        <w:spacing w:after="12"/>
      </w:pPr>
      <w:r>
        <w:t>PHOTO bytes/base64 and database dumps</w:t>
      </w:r>
    </w:p>
    <w:p>
      <w:pPr>
        <w:pStyle w:val="ListBullet"/>
        <w:spacing w:after="12"/>
      </w:pPr>
      <w:r>
        <w:t>Arbitrary Note text by default</w:t>
      </w:r>
    </w:p>
    <w:p>
      <w:pPr>
        <w:pStyle w:val="ListBullet"/>
        <w:spacing w:after="12"/>
      </w:pPr>
      <w:r>
        <w:t>Full request/response business payloads by default</w:t>
      </w:r>
    </w:p>
    <w:p>
      <w:pPr>
        <w:pStyle w:val="ListBullet"/>
        <w:spacing w:after="12"/>
      </w:pPr>
      <w:r>
        <w:t>Full SyncConflict/SyncOperation/Audit before-after envelopes</w:t>
      </w:r>
    </w:p>
    <w:p>
      <w:pPr>
        <w:pStyle w:val="Heading1"/>
      </w:pPr>
      <w:r>
        <w:t>14. Abuse protection and rate limiting</w:t>
      </w:r>
    </w:p>
    <w:p>
      <w:pPr>
        <w:pStyle w:val="ListBullet"/>
        <w:spacing w:after="12"/>
      </w:pPr>
      <w:r>
        <w:t>Authentication endpoints are protected by server-side rate limiting/throttling.</w:t>
      </w:r>
    </w:p>
    <w:p>
      <w:pPr>
        <w:pStyle w:val="ListBullet"/>
        <w:spacing w:after="12"/>
      </w:pPr>
      <w:r>
        <w:t>Sign In allows at most 5 failed attempts per 15 minutes per normalized account identifier before temporary throttling.</w:t>
      </w:r>
    </w:p>
    <w:p>
      <w:pPr>
        <w:pStyle w:val="ListBullet"/>
        <w:spacing w:after="12"/>
      </w:pPr>
      <w:r>
        <w:t>Additional deployment-configurable source/network protection mitigates distributed credential guessing and is not used alone for permanent account lock.</w:t>
      </w:r>
    </w:p>
    <w:p>
      <w:pPr>
        <w:pStyle w:val="ListBullet"/>
        <w:spacing w:after="12"/>
      </w:pPr>
      <w:r>
        <w:t>There is no permanent automatic account lock based only on failed password attempts.</w:t>
      </w:r>
    </w:p>
    <w:p>
      <w:pPr>
        <w:pStyle w:val="ListBullet"/>
        <w:spacing w:after="12"/>
      </w:pPr>
      <w:r>
        <w:t>Successful authentication may reset account-level failed-attempt counters according to backend policy.</w:t>
      </w:r>
    </w:p>
    <w:p>
      <w:pPr>
        <w:pStyle w:val="ListBullet"/>
        <w:spacing w:after="12"/>
      </w:pPr>
      <w:r>
        <w:t>Forgot/Reset Password endpoints are separately rate-limited by account identifier and abuse source.</w:t>
      </w:r>
    </w:p>
    <w:p>
      <w:pPr>
        <w:pStyle w:val="ListBullet"/>
        <w:spacing w:after="12"/>
      </w:pPr>
      <w:r>
        <w:t>Forgot Password accepts at most 3 reset requests per 60 minutes per normalized account identifier while keeping the response generic.</w:t>
      </w:r>
    </w:p>
    <w:p>
      <w:pPr>
        <w:pStyle w:val="ListBullet"/>
        <w:spacing w:after="12"/>
      </w:pPr>
      <w:r>
        <w:t>Reset tokens are single-use and valid for 30 minutes.</w:t>
      </w:r>
    </w:p>
    <w:p>
      <w:pPr>
        <w:pStyle w:val="ListBullet"/>
        <w:spacing w:after="12"/>
      </w:pPr>
      <w:r>
        <w:t>Consumed, superseded or expired reset tokens cannot be reused.</w:t>
      </w:r>
    </w:p>
    <w:p>
      <w:pPr>
        <w:pStyle w:val="ListBullet"/>
        <w:spacing w:after="12"/>
      </w:pPr>
      <w:r>
        <w:t>Authenticated API rate limits may be deployment-configurable but must not break legitimate sync batches or report exports.</w:t>
      </w:r>
    </w:p>
    <w:p>
      <w:pPr>
        <w:pStyle w:val="ListBullet"/>
        <w:spacing w:after="12"/>
      </w:pPr>
      <w:r>
        <w:t>HTTP 429 uses Retry-After when available; the frozen sync engine respects it.</w:t>
      </w:r>
    </w:p>
    <w:p>
      <w:pPr>
        <w:pStyle w:val="ListBullet"/>
        <w:spacing w:after="12"/>
      </w:pPr>
      <w:r>
        <w:t>Rate limiting is not authorization; every request remains subject to normal authentication/authorization.</w:t>
      </w:r>
    </w:p>
    <w:p>
      <w:pPr>
        <w:pStyle w:val="ListBullet"/>
        <w:spacing w:after="12"/>
      </w:pPr>
      <w:r>
        <w:t>Idempotent retry of the same SyncOperation is not automatically treated as a malicious duplicate mutation.</w:t>
      </w:r>
    </w:p>
    <w:p>
      <w:pPr>
        <w:pStyle w:val="ListBullet"/>
        <w:spacing w:after="12"/>
      </w:pPr>
      <w:r>
        <w:t>Evidence upload controls may limit size/concurrency/rate without changing the frozen 3 MB PHOTO hard maximum or Evidence semantics.</w:t>
      </w:r>
    </w:p>
    <w:p>
      <w:pPr>
        <w:pStyle w:val="ListBullet"/>
        <w:spacing w:after="12"/>
      </w:pPr>
      <w:r>
        <w:t>Report/export controls may limit concurrency/rate without producing partial or semantically different datasets.</w:t>
      </w:r>
    </w:p>
    <w:p>
      <w:pPr>
        <w:pStyle w:val="ListBullet"/>
        <w:spacing w:after="12"/>
      </w:pPr>
      <w:r>
        <w:t>Repeated abuse-limit activation is security telemetry and does not automatically create a business AuditEvent for every rejection.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726"/>
        <w:gridCol w:w="7726"/>
      </w:tblGrid>
      <w:tr>
        <w:trPr>
          <w:tblHeader w:val="true"/>
          <w:cantSplit/>
        </w:trPr>
        <w:tc>
          <w:tcPr>
            <w:tcW w:type="dxa" w:w="7726"/>
            <w:shd w:fill="D9EAF7"/>
          </w:tcPr>
          <w:p>
            <w:r>
              <w:rPr>
                <w:b/>
                <w:sz w:val="13"/>
              </w:rPr>
              <w:t>Endpoint/control</w:t>
            </w:r>
          </w:p>
        </w:tc>
        <w:tc>
          <w:tcPr>
            <w:tcW w:type="dxa" w:w="7726"/>
            <w:shd w:fill="D9EAF7"/>
          </w:tcPr>
          <w:p>
            <w:r>
              <w:rPr>
                <w:b/>
                <w:sz w:val="13"/>
              </w:rPr>
              <w:t>V6 policy</w:t>
            </w:r>
          </w:p>
        </w:tc>
      </w:tr>
      <w:tr>
        <w:trPr>
          <w:cantSplit/>
        </w:trPr>
        <w:tc>
          <w:tcPr>
            <w:tcW w:type="dxa" w:w="7726"/>
            <w:vAlign w:val="top"/>
          </w:tcPr>
          <w:p>
            <w:pPr>
              <w:spacing w:after="0"/>
            </w:pPr>
            <w:r>
              <w:rPr>
                <w:sz w:val="12"/>
              </w:rPr>
              <w:t>Sign In</w:t>
            </w:r>
          </w:p>
        </w:tc>
        <w:tc>
          <w:tcPr>
            <w:tcW w:type="dxa" w:w="7726"/>
            <w:vAlign w:val="top"/>
          </w:tcPr>
          <w:p>
            <w:pPr>
              <w:spacing w:after="0"/>
            </w:pPr>
            <w:r>
              <w:rPr>
                <w:sz w:val="12"/>
              </w:rPr>
              <w:t>5 failed attempts / 15 minutes / normalized account identifier -&gt; temporary throttling.</w:t>
            </w:r>
          </w:p>
        </w:tc>
      </w:tr>
      <w:tr>
        <w:trPr>
          <w:cantSplit/>
        </w:trPr>
        <w:tc>
          <w:tcPr>
            <w:tcW w:type="dxa" w:w="7726"/>
            <w:vAlign w:val="top"/>
          </w:tcPr>
          <w:p>
            <w:pPr>
              <w:spacing w:after="0"/>
            </w:pPr>
            <w:r>
              <w:rPr>
                <w:sz w:val="12"/>
              </w:rPr>
              <w:t>Forgot Password</w:t>
            </w:r>
          </w:p>
        </w:tc>
        <w:tc>
          <w:tcPr>
            <w:tcW w:type="dxa" w:w="7726"/>
            <w:vAlign w:val="top"/>
          </w:tcPr>
          <w:p>
            <w:pPr>
              <w:spacing w:after="0"/>
            </w:pPr>
            <w:r>
              <w:rPr>
                <w:sz w:val="12"/>
              </w:rPr>
              <w:t>Max 3 accepted reset requests / 60 minutes / normalized account identifier; generic response.</w:t>
            </w:r>
          </w:p>
        </w:tc>
      </w:tr>
      <w:tr>
        <w:trPr>
          <w:cantSplit/>
        </w:trPr>
        <w:tc>
          <w:tcPr>
            <w:tcW w:type="dxa" w:w="7726"/>
            <w:vAlign w:val="top"/>
          </w:tcPr>
          <w:p>
            <w:pPr>
              <w:spacing w:after="0"/>
            </w:pPr>
            <w:r>
              <w:rPr>
                <w:sz w:val="12"/>
              </w:rPr>
              <w:t>Reset token</w:t>
            </w:r>
          </w:p>
        </w:tc>
        <w:tc>
          <w:tcPr>
            <w:tcW w:type="dxa" w:w="7726"/>
            <w:vAlign w:val="top"/>
          </w:tcPr>
          <w:p>
            <w:pPr>
              <w:spacing w:after="0"/>
            </w:pPr>
            <w:r>
              <w:rPr>
                <w:sz w:val="12"/>
              </w:rPr>
              <w:t>Single-use; 30-minute validity.</w:t>
            </w:r>
          </w:p>
        </w:tc>
      </w:tr>
      <w:tr>
        <w:trPr>
          <w:cantSplit/>
        </w:trPr>
        <w:tc>
          <w:tcPr>
            <w:tcW w:type="dxa" w:w="7726"/>
            <w:vAlign w:val="top"/>
          </w:tcPr>
          <w:p>
            <w:pPr>
              <w:spacing w:after="0"/>
            </w:pPr>
            <w:r>
              <w:rPr>
                <w:sz w:val="12"/>
              </w:rPr>
              <w:t>Permanent password-failure lock</w:t>
            </w:r>
          </w:p>
        </w:tc>
        <w:tc>
          <w:tcPr>
            <w:tcW w:type="dxa" w:w="7726"/>
            <w:vAlign w:val="top"/>
          </w:tcPr>
          <w:p>
            <w:pPr>
              <w:spacing w:after="0"/>
            </w:pPr>
            <w:r>
              <w:rPr>
                <w:sz w:val="12"/>
              </w:rPr>
              <w:t>Not used.</w:t>
            </w:r>
          </w:p>
        </w:tc>
      </w:tr>
      <w:tr>
        <w:trPr>
          <w:cantSplit/>
        </w:trPr>
        <w:tc>
          <w:tcPr>
            <w:tcW w:type="dxa" w:w="7726"/>
            <w:vAlign w:val="top"/>
          </w:tcPr>
          <w:p>
            <w:pPr>
              <w:spacing w:after="0"/>
            </w:pPr>
            <w:r>
              <w:rPr>
                <w:sz w:val="12"/>
              </w:rPr>
              <w:t>429</w:t>
            </w:r>
          </w:p>
        </w:tc>
        <w:tc>
          <w:tcPr>
            <w:tcW w:type="dxa" w:w="7726"/>
            <w:vAlign w:val="top"/>
          </w:tcPr>
          <w:p>
            <w:pPr>
              <w:spacing w:after="0"/>
            </w:pPr>
            <w:r>
              <w:rPr>
                <w:sz w:val="12"/>
              </w:rPr>
              <w:t>Retry-After honored where supplied.</w:t>
            </w:r>
          </w:p>
        </w:tc>
      </w:tr>
      <w:tr>
        <w:trPr>
          <w:cantSplit/>
        </w:trPr>
        <w:tc>
          <w:tcPr>
            <w:tcW w:type="dxa" w:w="7726"/>
            <w:vAlign w:val="top"/>
          </w:tcPr>
          <w:p>
            <w:pPr>
              <w:spacing w:after="0"/>
            </w:pPr>
            <w:r>
              <w:rPr>
                <w:sz w:val="12"/>
              </w:rPr>
              <w:t>General API</w:t>
            </w:r>
          </w:p>
        </w:tc>
        <w:tc>
          <w:tcPr>
            <w:tcW w:type="dxa" w:w="7726"/>
            <w:vAlign w:val="top"/>
          </w:tcPr>
          <w:p>
            <w:pPr>
              <w:spacing w:after="0"/>
            </w:pPr>
            <w:r>
              <w:rPr>
                <w:sz w:val="12"/>
              </w:rPr>
              <w:t>Deployment-configurable protective limits; must not break legitimate sync/export semantics.</w:t>
            </w:r>
          </w:p>
        </w:tc>
      </w:tr>
    </w:tbl>
    <w:p>
      <w:pPr>
        <w:spacing w:after="20"/>
      </w:pPr>
    </w:p>
    <w:p>
      <w:pPr>
        <w:pStyle w:val="Heading1"/>
      </w:pPr>
      <w:r>
        <w:t>15. Encryption and key management</w:t>
      </w:r>
    </w:p>
    <w:p>
      <w:pPr>
        <w:pStyle w:val="ListBullet"/>
        <w:spacing w:after="12"/>
      </w:pPr>
      <w:r>
        <w:t>Room encryption uses a random per-installation database secret that is not derived from the user's password.</w:t>
      </w:r>
    </w:p>
    <w:p>
      <w:pPr>
        <w:pStyle w:val="ListBullet"/>
        <w:spacing w:after="12"/>
      </w:pPr>
      <w:r>
        <w:t>The database secret is wrapped/protected by Android Keystore-backed key material.</w:t>
      </w:r>
    </w:p>
    <w:p>
      <w:pPr>
        <w:pStyle w:val="ListBullet"/>
        <w:spacing w:after="12"/>
      </w:pPr>
      <w:r>
        <w:t>Keystore/database keys are not synchronized to backend and are excluded from Android backup.</w:t>
      </w:r>
    </w:p>
    <w:p>
      <w:pPr>
        <w:pStyle w:val="ListBullet"/>
        <w:spacing w:after="12"/>
      </w:pPr>
      <w:r>
        <w:t>If secure key material becomes permanently unavailable/corrupt, encryption is not bypassed; recovery/re-authentication/re-download is used while preserving recoverable unsynced data where technically possible.</w:t>
      </w:r>
    </w:p>
    <w:p>
      <w:pPr>
        <w:pStyle w:val="ListBullet"/>
        <w:spacing w:after="12"/>
      </w:pPr>
      <w:r>
        <w:t>Local PHOTO Evidence is encrypted at application level in Production using key material protected by Android Keystore, in addition to app-private sandboxing.</w:t>
      </w:r>
    </w:p>
    <w:p>
      <w:pPr>
        <w:pStyle w:val="ListBullet"/>
        <w:spacing w:after="12"/>
      </w:pPr>
      <w:r>
        <w:t>Remote Evidence uses object-storage/platform encryption at rest.</w:t>
      </w:r>
    </w:p>
    <w:p>
      <w:pPr>
        <w:pStyle w:val="ListBullet"/>
        <w:spacing w:after="12"/>
      </w:pPr>
      <w:r>
        <w:t>Production PostgreSQL storage and backups use infrastructure-level encryption at rest.</w:t>
      </w:r>
    </w:p>
    <w:p>
      <w:pPr>
        <w:pStyle w:val="ListBullet"/>
        <w:spacing w:after="12"/>
      </w:pPr>
      <w:r>
        <w:t>Backup encryption keys and Production data-encryption credentials are managed through Production secret/KMS facilities, not source control.</w:t>
      </w:r>
    </w:p>
    <w:p>
      <w:pPr>
        <w:pStyle w:val="Heading1"/>
      </w:pPr>
      <w:r>
        <w:t>16. Backup, restore and environment separation</w:t>
      </w:r>
    </w:p>
    <w:p>
      <w:pPr>
        <w:pStyle w:val="ListBullet"/>
        <w:spacing w:after="12"/>
      </w:pPr>
      <w:r>
        <w:t>Production database backups are encrypted and limited to authorized operators/service identities.</w:t>
      </w:r>
    </w:p>
    <w:p>
      <w:pPr>
        <w:pStyle w:val="ListBullet"/>
        <w:spacing w:after="12"/>
      </w:pPr>
      <w:r>
        <w:t>Backup restore is privileged, operationally audited and periodically tested; RPO/RTO are governed by Doc20.</w:t>
      </w:r>
    </w:p>
    <w:p>
      <w:pPr>
        <w:pStyle w:val="ListBullet"/>
        <w:spacing w:after="12"/>
      </w:pPr>
      <w:r>
        <w:t>Android platform/cloud backup excludes auth secrets, encryption keys and protected offline business/Evidence stores.</w:t>
      </w:r>
    </w:p>
    <w:p>
      <w:pPr>
        <w:pStyle w:val="ListBullet"/>
        <w:spacing w:after="12"/>
      </w:pPr>
      <w:r>
        <w:t>Development/Staging do not use Production snapshots with real business/personal data except through an explicitly authorized and sanitized process.</w:t>
      </w:r>
    </w:p>
    <w:p>
      <w:pPr>
        <w:pStyle w:val="ListBullet"/>
        <w:spacing w:after="12"/>
      </w:pPr>
      <w:r>
        <w:t>Production API base URL and non-secret environment identifiers may be build configuration; credentials/secrets are never plaintext build constants.</w:t>
      </w:r>
    </w:p>
    <w:p>
      <w:pPr>
        <w:pStyle w:val="ListBullet"/>
        <w:spacing w:after="12"/>
      </w:pPr>
      <w:r>
        <w:t>Debug and Production builds are separated; debug trust overrides/logging/configuration cannot enter Production artifacts.</w:t>
      </w:r>
    </w:p>
    <w:p>
      <w:pPr>
        <w:pStyle w:val="ListBullet"/>
        <w:spacing w:after="12"/>
      </w:pPr>
      <w:r>
        <w:t>Production signing material is protected in CI/CD/secure signing infrastructure and never committed.</w:t>
      </w:r>
    </w:p>
    <w:p>
      <w:pPr>
        <w:pStyle w:val="Heading1"/>
      </w:pPr>
      <w:r>
        <w:t>17. Security response and failure behavior</w:t>
      </w:r>
    </w:p>
    <w:p>
      <w:pPr>
        <w:pStyle w:val="ListBullet"/>
        <w:spacing w:after="12"/>
      </w:pPr>
      <w:r>
        <w:t>Protected server operations fail closed on security failure.</w:t>
      </w:r>
    </w:p>
    <w:p>
      <w:pPr>
        <w:pStyle w:val="ListBullet"/>
        <w:spacing w:after="12"/>
      </w:pPr>
      <w:r>
        <w:t>Network failure is not an authorization failure; previously authorized offline work continues only within the frozen offline package.</w:t>
      </w:r>
    </w:p>
    <w:p>
      <w:pPr>
        <w:pStyle w:val="ListBullet"/>
        <w:spacing w:after="12"/>
      </w:pPr>
      <w:r>
        <w:t>401 triggers one secure refresh attempt; failure returns to Sign In.</w:t>
      </w:r>
    </w:p>
    <w:p>
      <w:pPr>
        <w:pStyle w:val="ListBullet"/>
        <w:spacing w:after="12"/>
      </w:pPr>
      <w:r>
        <w:t>403 is not blindly retried; the operation remains rejected until authorization context changes.</w:t>
      </w:r>
    </w:p>
    <w:p>
      <w:pPr>
        <w:pStyle w:val="ListBullet"/>
        <w:spacing w:after="12"/>
      </w:pPr>
      <w:r>
        <w:t>Cross-tenant/resource authorization failure must not disclose protected resource existence or metadata.</w:t>
      </w:r>
    </w:p>
    <w:p>
      <w:pPr>
        <w:pStyle w:val="ListBullet"/>
        <w:spacing w:after="12"/>
      </w:pPr>
      <w:r>
        <w:t>Suspected integrity compromise is never bypassed by ignoring hash/verification; affected operations block and use safe recovery/re-download.</w:t>
      </w:r>
    </w:p>
    <w:p>
      <w:pPr>
        <w:pStyle w:val="ListBullet"/>
        <w:spacing w:after="12"/>
      </w:pPr>
      <w:r>
        <w:t>Rejected offline mutations preserve attempted local state required for conflict/recovery and are never represented as authoritative success.</w:t>
      </w:r>
    </w:p>
    <w:p>
      <w:pPr>
        <w:pStyle w:val="ListBullet"/>
        <w:spacing w:after="12"/>
      </w:pPr>
      <w:r>
        <w:t>Unexpected server errors return the generic API error envelope while detailed diagnostics remain protected server-side.</w:t>
      </w:r>
    </w:p>
    <w:p>
      <w:pPr>
        <w:pStyle w:val="ListBullet"/>
        <w:spacing w:after="12"/>
      </w:pPr>
      <w:r>
        <w:t>Security-sensitive errors never expose password/token internals, SQL, stack traces or object-storage details to the user.</w:t>
      </w:r>
    </w:p>
    <w:p>
      <w:pPr>
        <w:pStyle w:val="Heading1"/>
      </w:pPr>
      <w:r>
        <w:t>18. Evidence security/privacy integration</w:t>
      </w:r>
    </w:p>
    <w:p>
      <w:pPr>
        <w:pStyle w:val="ListBullet"/>
        <w:spacing w:after="12"/>
      </w:pPr>
      <w:r>
        <w:t>Official PHOTO Evidence follows Doc15 canonical JPEG processing, size limits and SHA-256 verification.</w:t>
      </w:r>
    </w:p>
    <w:p>
      <w:pPr>
        <w:pStyle w:val="ListBullet"/>
        <w:spacing w:after="12"/>
      </w:pPr>
      <w:r>
        <w:t>Unnecessary EXIF is stripped and GPS/device identifiers are not automatically collected.</w:t>
      </w:r>
    </w:p>
    <w:p>
      <w:pPr>
        <w:pStyle w:val="ListBullet"/>
        <w:spacing w:after="12"/>
      </w:pPr>
      <w:r>
        <w:t>Local PHOTO binary is app-private and application-level encrypted in Production.</w:t>
      </w:r>
    </w:p>
    <w:p>
      <w:pPr>
        <w:pStyle w:val="ListBullet"/>
        <w:spacing w:after="12"/>
      </w:pPr>
      <w:r>
        <w:t>Remote PHOTO binary resides in private encrypted object storage and is accessed only after backend authorization.</w:t>
      </w:r>
    </w:p>
    <w:p>
      <w:pPr>
        <w:pStyle w:val="ListBullet"/>
        <w:spacing w:after="12"/>
      </w:pPr>
      <w:r>
        <w:t>remoteObjectRef is opaque and never a permanent public URL.</w:t>
      </w:r>
    </w:p>
    <w:p>
      <w:pPr>
        <w:pStyle w:val="ListBullet"/>
        <w:spacing w:after="12"/>
      </w:pPr>
      <w:r>
        <w:t>Evidence binary bytes never enter AuditEvent, generic logs or diagnostic packages.</w:t>
      </w:r>
    </w:p>
    <w:p>
      <w:pPr>
        <w:pStyle w:val="ListBullet"/>
        <w:spacing w:after="12"/>
      </w:pPr>
      <w:r>
        <w:t>Historical Evidence retention and cleanup remain governed by Doc15/Doc19 and cannot create dangling references.</w:t>
      </w:r>
    </w:p>
    <w:p>
      <w:pPr>
        <w:pStyle w:val="Heading1"/>
      </w:pPr>
      <w:r>
        <w:t>19. Offline and sync security</w:t>
      </w:r>
    </w:p>
    <w:p>
      <w:pPr>
        <w:pStyle w:val="ListBullet"/>
        <w:spacing w:after="12"/>
      </w:pPr>
      <w:r>
        <w:t>Offline work requires a previously authenticated identity and verified authorized Campaign working set.</w:t>
      </w:r>
    </w:p>
    <w:p>
      <w:pPr>
        <w:pStyle w:val="ListBullet"/>
        <w:spacing w:after="12"/>
      </w:pPr>
      <w:r>
        <w:t>Local save does not weaken server-side authorization at synchronization time.</w:t>
      </w:r>
    </w:p>
    <w:p>
      <w:pPr>
        <w:pStyle w:val="ListBullet"/>
        <w:spacing w:after="12"/>
      </w:pPr>
      <w:r>
        <w:t>Known revocation/disablement blocks incompatible new protected actions.</w:t>
      </w:r>
    </w:p>
    <w:p>
      <w:pPr>
        <w:pStyle w:val="ListBullet"/>
        <w:spacing w:after="12"/>
      </w:pPr>
      <w:r>
        <w:t>401/403 behavior follows the frozen sync contract; 403 is not blindly retried.</w:t>
      </w:r>
    </w:p>
    <w:p>
      <w:pPr>
        <w:pStyle w:val="ListBullet"/>
        <w:spacing w:after="12"/>
      </w:pPr>
      <w:r>
        <w:t>Integrity hashes prove content integrity, not identity or authorization.</w:t>
      </w:r>
    </w:p>
    <w:p>
      <w:pPr>
        <w:pStyle w:val="ListBullet"/>
        <w:spacing w:after="12"/>
      </w:pPr>
      <w:r>
        <w:t>Rejected offline mutations preserve recoverable attempted state and never become authoritative success.</w:t>
      </w:r>
    </w:p>
    <w:p>
      <w:pPr>
        <w:pStyle w:val="ListBullet"/>
        <w:spacing w:after="12"/>
      </w:pPr>
      <w:r>
        <w:t>Unsynced business work is not deleted merely because authentication must be restored.</w:t>
      </w:r>
    </w:p>
    <w:p>
      <w:pPr>
        <w:pStyle w:val="Heading1"/>
      </w:pPr>
      <w:r>
        <w:t>20. Reporting and export security</w:t>
      </w:r>
    </w:p>
    <w:p>
      <w:pPr>
        <w:pStyle w:val="ListBullet"/>
        <w:spacing w:after="12"/>
      </w:pPr>
      <w:r>
        <w:t>Report query and export are server-authorized to Organization/Campaign scope.</w:t>
      </w:r>
    </w:p>
    <w:p>
      <w:pPr>
        <w:pStyle w:val="ListBullet"/>
        <w:spacing w:after="12"/>
      </w:pPr>
      <w:r>
        <w:t>Audit Trail remains Admin-only.</w:t>
      </w:r>
    </w:p>
    <w:p>
      <w:pPr>
        <w:pStyle w:val="ListBullet"/>
        <w:spacing w:after="12"/>
      </w:pPr>
      <w:r>
        <w:t>Digital Inventory Dossier does not bypass Audit Trail authorization.</w:t>
      </w:r>
    </w:p>
    <w:p>
      <w:pPr>
        <w:pStyle w:val="ListBullet"/>
        <w:spacing w:after="12"/>
      </w:pPr>
      <w:r>
        <w:t>Exports may contain authorized business/personal attribution only when required by the report contract.</w:t>
      </w:r>
    </w:p>
    <w:p>
      <w:pPr>
        <w:pStyle w:val="ListBullet"/>
        <w:spacing w:after="12"/>
      </w:pPr>
      <w:r>
        <w:t>Export creation is explicit and auditable; report payload is not copied wholesale into AuditEvent.</w:t>
      </w:r>
    </w:p>
    <w:p>
      <w:pPr>
        <w:pStyle w:val="ListBullet"/>
        <w:spacing w:after="12"/>
      </w:pPr>
      <w:r>
        <w:t>Offline export is allowed only from complete authorized local data and preserves auditability through durable outbox behavior.</w:t>
      </w:r>
    </w:p>
    <w:p>
      <w:pPr>
        <w:pStyle w:val="Heading1"/>
      </w:pPr>
      <w:r>
        <w:t>21. Retention/privacy boundary</w:t>
      </w:r>
    </w:p>
    <w:p>
      <w:pPr>
        <w:pStyle w:val="ListBullet"/>
        <w:spacing w:after="12"/>
      </w:pPr>
      <w:r>
        <w:t>Final Inventory Snapshot, critical Audit Events, official validated/final Evidence, Issues/resolution history and Campaign Snapshot follow the frozen minimum 10-year retention baseline.</w:t>
      </w:r>
    </w:p>
    <w:p>
      <w:pPr>
        <w:pStyle w:val="ListBullet"/>
        <w:spacing w:after="12"/>
      </w:pPr>
      <w:r>
        <w:t>User disablement or privacy lifecycle operations do not rewrite immutable historical attribution.</w:t>
      </w:r>
    </w:p>
    <w:p>
      <w:pPr>
        <w:pStyle w:val="ListBullet"/>
        <w:spacing w:after="12"/>
      </w:pPr>
      <w:r>
        <w:t>Privacy deletion must not create dangling references or falsify retained history.</w:t>
      </w:r>
    </w:p>
    <w:p>
      <w:pPr>
        <w:pStyle w:val="ListBullet"/>
        <w:spacing w:after="12"/>
      </w:pPr>
      <w:r>
        <w:t>Operational diagnostics and telemetry are not automatically promoted to long-term business history; exact retention is finalized in Doc19.</w:t>
      </w:r>
    </w:p>
    <w:p>
      <w:pPr>
        <w:pStyle w:val="Heading1"/>
      </w:pPr>
      <w:r>
        <w:t>22. Explicit V6 exclusions</w:t>
      </w:r>
    </w:p>
    <w:p>
      <w:pPr>
        <w:pStyle w:val="ListBullet"/>
        <w:spacing w:after="12"/>
      </w:pPr>
      <w:r>
        <w:t>No MFA requirement.</w:t>
      </w:r>
    </w:p>
    <w:p>
      <w:pPr>
        <w:pStyle w:val="ListBullet"/>
        <w:spacing w:after="12"/>
      </w:pPr>
      <w:r>
        <w:t>No public Sign Up.</w:t>
      </w:r>
    </w:p>
    <w:p>
      <w:pPr>
        <w:pStyle w:val="ListBullet"/>
        <w:spacing w:after="12"/>
      </w:pPr>
      <w:r>
        <w:t>No Remember Me.</w:t>
      </w:r>
    </w:p>
    <w:p>
      <w:pPr>
        <w:pStyle w:val="ListBullet"/>
        <w:spacing w:after="12"/>
      </w:pPr>
      <w:r>
        <w:t>No Google/Microsoft SSO.</w:t>
      </w:r>
    </w:p>
    <w:p>
      <w:pPr>
        <w:pStyle w:val="ListBullet"/>
        <w:spacing w:after="12"/>
      </w:pPr>
      <w:r>
        <w:t>No mandatory certificate pinning.</w:t>
      </w:r>
    </w:p>
    <w:p>
      <w:pPr>
        <w:pStyle w:val="ListBullet"/>
        <w:spacing w:after="12"/>
      </w:pPr>
      <w:r>
        <w:t>No trust-all TLS.</w:t>
      </w:r>
    </w:p>
    <w:p>
      <w:pPr>
        <w:pStyle w:val="ListBullet"/>
        <w:spacing w:after="12"/>
      </w:pPr>
      <w:r>
        <w:t>No IMEI/hardware serial/advertising-ID authorization.</w:t>
      </w:r>
    </w:p>
    <w:p>
      <w:pPr>
        <w:pStyle w:val="ListBullet"/>
        <w:spacing w:after="12"/>
      </w:pPr>
      <w:r>
        <w:t>No automatic GPS Evidence collection.</w:t>
      </w:r>
    </w:p>
    <w:p>
      <w:pPr>
        <w:pStyle w:val="ListBullet"/>
        <w:spacing w:after="12"/>
      </w:pPr>
      <w:r>
        <w:t>No root detection/device attestation as an authorization boundary.</w:t>
      </w:r>
    </w:p>
    <w:p>
      <w:pPr>
        <w:pStyle w:val="ListBullet"/>
        <w:spacing w:after="12"/>
      </w:pPr>
      <w:r>
        <w:t>No permanent account lock based only on failed passwords.</w:t>
      </w:r>
    </w:p>
    <w:p>
      <w:pPr>
        <w:pStyle w:val="ListBullet"/>
        <w:spacing w:after="12"/>
      </w:pPr>
      <w:r>
        <w:t>No public object-storage URLs as Evidence authorization.</w:t>
      </w:r>
    </w:p>
    <w:p>
      <w:pPr>
        <w:pStyle w:val="ListBullet"/>
        <w:spacing w:after="12"/>
      </w:pPr>
      <w:r>
        <w:t>No self-service deletion that destroys immutable corporate inventory/audit history.</w:t>
      </w:r>
    </w:p>
    <w:p>
      <w:pPr>
        <w:pStyle w:val="Heading1"/>
      </w:pPr>
      <w:r>
        <w:t>23. Required security test matrix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1"/>
        <w:gridCol w:w="5151"/>
        <w:gridCol w:w="5151"/>
      </w:tblGrid>
      <w:tr>
        <w:trPr>
          <w:tblHeader w:val="true"/>
          <w:cantSplit/>
        </w:trPr>
        <w:tc>
          <w:tcPr>
            <w:tcW w:type="dxa" w:w="5151"/>
            <w:shd w:fill="D9EAF7"/>
          </w:tcPr>
          <w:p>
            <w:r>
              <w:rPr>
                <w:b/>
                <w:sz w:val="13"/>
              </w:rPr>
              <w:t>ID</w:t>
            </w:r>
          </w:p>
        </w:tc>
        <w:tc>
          <w:tcPr>
            <w:tcW w:type="dxa" w:w="5151"/>
            <w:shd w:fill="D9EAF7"/>
          </w:tcPr>
          <w:p>
            <w:r>
              <w:rPr>
                <w:b/>
                <w:sz w:val="13"/>
              </w:rPr>
              <w:t>Scenario</w:t>
            </w:r>
          </w:p>
        </w:tc>
        <w:tc>
          <w:tcPr>
            <w:tcW w:type="dxa" w:w="5151"/>
            <w:shd w:fill="D9EAF7"/>
          </w:tcPr>
          <w:p>
            <w:r>
              <w:rPr>
                <w:b/>
                <w:sz w:val="13"/>
              </w:rPr>
              <w:t>Expected result</w:t>
            </w:r>
          </w:p>
        </w:tc>
      </w:tr>
      <w:tr>
        <w:trPr>
          <w:cantSplit/>
        </w:trPr>
        <w:tc>
          <w:tcPr>
            <w:tcW w:type="dxa" w:w="5151"/>
            <w:vAlign w:val="top"/>
          </w:tcPr>
          <w:p>
            <w:pPr>
              <w:spacing w:after="0"/>
            </w:pPr>
            <w:r>
              <w:rPr>
                <w:sz w:val="11"/>
              </w:rPr>
              <w:t>SEC-T01</w:t>
            </w:r>
          </w:p>
        </w:tc>
        <w:tc>
          <w:tcPr>
            <w:tcW w:type="dxa" w:w="5151"/>
            <w:vAlign w:val="top"/>
          </w:tcPr>
          <w:p>
            <w:pPr>
              <w:spacing w:after="0"/>
            </w:pPr>
            <w:r>
              <w:rPr>
                <w:sz w:val="11"/>
              </w:rPr>
              <w:t>Cross-tenant UUID probing</w:t>
            </w:r>
          </w:p>
        </w:tc>
        <w:tc>
          <w:tcPr>
            <w:tcW w:type="dxa" w:w="5151"/>
            <w:vAlign w:val="top"/>
          </w:tcPr>
          <w:p>
            <w:pPr>
              <w:spacing w:after="0"/>
            </w:pPr>
            <w:r>
              <w:rPr>
                <w:sz w:val="11"/>
              </w:rPr>
              <w:t>No protected data disclosed; request rejected.</w:t>
            </w:r>
          </w:p>
        </w:tc>
      </w:tr>
      <w:tr>
        <w:trPr>
          <w:cantSplit/>
        </w:trPr>
        <w:tc>
          <w:tcPr>
            <w:tcW w:type="dxa" w:w="5151"/>
            <w:vAlign w:val="top"/>
          </w:tcPr>
          <w:p>
            <w:pPr>
              <w:spacing w:after="0"/>
            </w:pPr>
            <w:r>
              <w:rPr>
                <w:sz w:val="11"/>
              </w:rPr>
              <w:t>SEC-T02</w:t>
            </w:r>
          </w:p>
        </w:tc>
        <w:tc>
          <w:tcPr>
            <w:tcW w:type="dxa" w:w="5151"/>
            <w:vAlign w:val="top"/>
          </w:tcPr>
          <w:p>
            <w:pPr>
              <w:spacing w:after="0"/>
            </w:pPr>
            <w:r>
              <w:rPr>
                <w:sz w:val="11"/>
              </w:rPr>
              <w:t>Standard attempts Admin operation</w:t>
            </w:r>
          </w:p>
        </w:tc>
        <w:tc>
          <w:tcPr>
            <w:tcW w:type="dxa" w:w="5151"/>
            <w:vAlign w:val="top"/>
          </w:tcPr>
          <w:p>
            <w:pPr>
              <w:spacing w:after="0"/>
            </w:pPr>
            <w:r>
              <w:rPr>
                <w:sz w:val="11"/>
              </w:rPr>
              <w:t>Server rejects even if request is crafted manually.</w:t>
            </w:r>
          </w:p>
        </w:tc>
      </w:tr>
      <w:tr>
        <w:trPr>
          <w:cantSplit/>
        </w:trPr>
        <w:tc>
          <w:tcPr>
            <w:tcW w:type="dxa" w:w="5151"/>
            <w:vAlign w:val="top"/>
          </w:tcPr>
          <w:p>
            <w:pPr>
              <w:spacing w:after="0"/>
            </w:pPr>
            <w:r>
              <w:rPr>
                <w:sz w:val="11"/>
              </w:rPr>
              <w:t>SEC-T03</w:t>
            </w:r>
          </w:p>
        </w:tc>
        <w:tc>
          <w:tcPr>
            <w:tcW w:type="dxa" w:w="5151"/>
            <w:vAlign w:val="top"/>
          </w:tcPr>
          <w:p>
            <w:pPr>
              <w:spacing w:after="0"/>
            </w:pPr>
            <w:r>
              <w:rPr>
                <w:sz w:val="11"/>
              </w:rPr>
              <w:t>Admin not on Campaign Team mutates stocktaking</w:t>
            </w:r>
          </w:p>
        </w:tc>
        <w:tc>
          <w:tcPr>
            <w:tcW w:type="dxa" w:w="5151"/>
            <w:vAlign w:val="top"/>
          </w:tcPr>
          <w:p>
            <w:pPr>
              <w:spacing w:after="0"/>
            </w:pPr>
            <w:r>
              <w:rPr>
                <w:sz w:val="11"/>
              </w:rPr>
              <w:t>Rejected according to Campaign Team authorization.</w:t>
            </w:r>
          </w:p>
        </w:tc>
      </w:tr>
      <w:tr>
        <w:trPr>
          <w:cantSplit/>
        </w:trPr>
        <w:tc>
          <w:tcPr>
            <w:tcW w:type="dxa" w:w="5151"/>
            <w:vAlign w:val="top"/>
          </w:tcPr>
          <w:p>
            <w:pPr>
              <w:spacing w:after="0"/>
            </w:pPr>
            <w:r>
              <w:rPr>
                <w:sz w:val="11"/>
              </w:rPr>
              <w:t>SEC-T04</w:t>
            </w:r>
          </w:p>
        </w:tc>
        <w:tc>
          <w:tcPr>
            <w:tcW w:type="dxa" w:w="5151"/>
            <w:vAlign w:val="top"/>
          </w:tcPr>
          <w:p>
            <w:pPr>
              <w:spacing w:after="0"/>
            </w:pPr>
            <w:r>
              <w:rPr>
                <w:sz w:val="11"/>
              </w:rPr>
              <w:t>Disabled user signs in</w:t>
            </w:r>
          </w:p>
        </w:tc>
        <w:tc>
          <w:tcPr>
            <w:tcW w:type="dxa" w:w="5151"/>
            <w:vAlign w:val="top"/>
          </w:tcPr>
          <w:p>
            <w:pPr>
              <w:spacing w:after="0"/>
            </w:pPr>
            <w:r>
              <w:rPr>
                <w:sz w:val="11"/>
              </w:rPr>
              <w:t>Authentication denied without destroying historical identity.</w:t>
            </w:r>
          </w:p>
        </w:tc>
      </w:tr>
      <w:tr>
        <w:trPr>
          <w:cantSplit/>
        </w:trPr>
        <w:tc>
          <w:tcPr>
            <w:tcW w:type="dxa" w:w="5151"/>
            <w:vAlign w:val="top"/>
          </w:tcPr>
          <w:p>
            <w:pPr>
              <w:spacing w:after="0"/>
            </w:pPr>
            <w:r>
              <w:rPr>
                <w:sz w:val="11"/>
              </w:rPr>
              <w:t>SEC-T05</w:t>
            </w:r>
          </w:p>
        </w:tc>
        <w:tc>
          <w:tcPr>
            <w:tcW w:type="dxa" w:w="5151"/>
            <w:vAlign w:val="top"/>
          </w:tcPr>
          <w:p>
            <w:pPr>
              <w:spacing w:after="0"/>
            </w:pPr>
            <w:r>
              <w:rPr>
                <w:sz w:val="11"/>
              </w:rPr>
              <w:t>Unknown vs known email Sign In failure</w:t>
            </w:r>
          </w:p>
        </w:tc>
        <w:tc>
          <w:tcPr>
            <w:tcW w:type="dxa" w:w="5151"/>
            <w:vAlign w:val="top"/>
          </w:tcPr>
          <w:p>
            <w:pPr>
              <w:spacing w:after="0"/>
            </w:pPr>
            <w:r>
              <w:rPr>
                <w:sz w:val="11"/>
              </w:rPr>
              <w:t>Externally indistinguishable generic failure.</w:t>
            </w:r>
          </w:p>
        </w:tc>
      </w:tr>
      <w:tr>
        <w:trPr>
          <w:cantSplit/>
        </w:trPr>
        <w:tc>
          <w:tcPr>
            <w:tcW w:type="dxa" w:w="5151"/>
            <w:vAlign w:val="top"/>
          </w:tcPr>
          <w:p>
            <w:pPr>
              <w:spacing w:after="0"/>
            </w:pPr>
            <w:r>
              <w:rPr>
                <w:sz w:val="11"/>
              </w:rPr>
              <w:t>SEC-T06</w:t>
            </w:r>
          </w:p>
        </w:tc>
        <w:tc>
          <w:tcPr>
            <w:tcW w:type="dxa" w:w="5151"/>
            <w:vAlign w:val="top"/>
          </w:tcPr>
          <w:p>
            <w:pPr>
              <w:spacing w:after="0"/>
            </w:pPr>
            <w:r>
              <w:rPr>
                <w:sz w:val="11"/>
              </w:rPr>
              <w:t>Forgot Password known vs unknown email</w:t>
            </w:r>
          </w:p>
        </w:tc>
        <w:tc>
          <w:tcPr>
            <w:tcW w:type="dxa" w:w="5151"/>
            <w:vAlign w:val="top"/>
          </w:tcPr>
          <w:p>
            <w:pPr>
              <w:spacing w:after="0"/>
            </w:pPr>
            <w:r>
              <w:rPr>
                <w:sz w:val="11"/>
              </w:rPr>
              <w:t>Generic confirmation; no enumeration.</w:t>
            </w:r>
          </w:p>
        </w:tc>
      </w:tr>
      <w:tr>
        <w:trPr>
          <w:cantSplit/>
        </w:trPr>
        <w:tc>
          <w:tcPr>
            <w:tcW w:type="dxa" w:w="5151"/>
            <w:vAlign w:val="top"/>
          </w:tcPr>
          <w:p>
            <w:pPr>
              <w:spacing w:after="0"/>
            </w:pPr>
            <w:r>
              <w:rPr>
                <w:sz w:val="11"/>
              </w:rPr>
              <w:t>SEC-T07</w:t>
            </w:r>
          </w:p>
        </w:tc>
        <w:tc>
          <w:tcPr>
            <w:tcW w:type="dxa" w:w="5151"/>
            <w:vAlign w:val="top"/>
          </w:tcPr>
          <w:p>
            <w:pPr>
              <w:spacing w:after="0"/>
            </w:pPr>
            <w:r>
              <w:rPr>
                <w:sz w:val="11"/>
              </w:rPr>
              <w:t>Access token &gt;15 min</w:t>
            </w:r>
          </w:p>
        </w:tc>
        <w:tc>
          <w:tcPr>
            <w:tcW w:type="dxa" w:w="5151"/>
            <w:vAlign w:val="top"/>
          </w:tcPr>
          <w:p>
            <w:pPr>
              <w:spacing w:after="0"/>
            </w:pPr>
            <w:r>
              <w:rPr>
                <w:sz w:val="11"/>
              </w:rPr>
              <w:t>Rejected/refresh required according to token validity.</w:t>
            </w:r>
          </w:p>
        </w:tc>
      </w:tr>
      <w:tr>
        <w:trPr>
          <w:cantSplit/>
        </w:trPr>
        <w:tc>
          <w:tcPr>
            <w:tcW w:type="dxa" w:w="5151"/>
            <w:vAlign w:val="top"/>
          </w:tcPr>
          <w:p>
            <w:pPr>
              <w:spacing w:after="0"/>
            </w:pPr>
            <w:r>
              <w:rPr>
                <w:sz w:val="11"/>
              </w:rPr>
              <w:t>SEC-T08</w:t>
            </w:r>
          </w:p>
        </w:tc>
        <w:tc>
          <w:tcPr>
            <w:tcW w:type="dxa" w:w="5151"/>
            <w:vAlign w:val="top"/>
          </w:tcPr>
          <w:p>
            <w:pPr>
              <w:spacing w:after="0"/>
            </w:pPr>
            <w:r>
              <w:rPr>
                <w:sz w:val="11"/>
              </w:rPr>
              <w:t>Refresh credential beyond 30 days</w:t>
            </w:r>
          </w:p>
        </w:tc>
        <w:tc>
          <w:tcPr>
            <w:tcW w:type="dxa" w:w="5151"/>
            <w:vAlign w:val="top"/>
          </w:tcPr>
          <w:p>
            <w:pPr>
              <w:spacing w:after="0"/>
            </w:pPr>
            <w:r>
              <w:rPr>
                <w:sz w:val="11"/>
              </w:rPr>
              <w:t>Cannot restore session.</w:t>
            </w:r>
          </w:p>
        </w:tc>
      </w:tr>
      <w:tr>
        <w:trPr>
          <w:cantSplit/>
        </w:trPr>
        <w:tc>
          <w:tcPr>
            <w:tcW w:type="dxa" w:w="5151"/>
            <w:vAlign w:val="top"/>
          </w:tcPr>
          <w:p>
            <w:pPr>
              <w:spacing w:after="0"/>
            </w:pPr>
            <w:r>
              <w:rPr>
                <w:sz w:val="11"/>
              </w:rPr>
              <w:t>SEC-T09</w:t>
            </w:r>
          </w:p>
        </w:tc>
        <w:tc>
          <w:tcPr>
            <w:tcW w:type="dxa" w:w="5151"/>
            <w:vAlign w:val="top"/>
          </w:tcPr>
          <w:p>
            <w:pPr>
              <w:spacing w:after="0"/>
            </w:pPr>
            <w:r>
              <w:rPr>
                <w:sz w:val="11"/>
              </w:rPr>
              <w:t>Refresh rotation replay</w:t>
            </w:r>
          </w:p>
        </w:tc>
        <w:tc>
          <w:tcPr>
            <w:tcW w:type="dxa" w:w="5151"/>
            <w:vAlign w:val="top"/>
          </w:tcPr>
          <w:p>
            <w:pPr>
              <w:spacing w:after="0"/>
            </w:pPr>
            <w:r>
              <w:rPr>
                <w:sz w:val="11"/>
              </w:rPr>
              <w:t>Previously rotated credential rejected.</w:t>
            </w:r>
          </w:p>
        </w:tc>
      </w:tr>
      <w:tr>
        <w:trPr>
          <w:cantSplit/>
        </w:trPr>
        <w:tc>
          <w:tcPr>
            <w:tcW w:type="dxa" w:w="5151"/>
            <w:vAlign w:val="top"/>
          </w:tcPr>
          <w:p>
            <w:pPr>
              <w:spacing w:after="0"/>
            </w:pPr>
            <w:r>
              <w:rPr>
                <w:sz w:val="11"/>
              </w:rPr>
              <w:t>SEC-T10</w:t>
            </w:r>
          </w:p>
        </w:tc>
        <w:tc>
          <w:tcPr>
            <w:tcW w:type="dxa" w:w="5151"/>
            <w:vAlign w:val="top"/>
          </w:tcPr>
          <w:p>
            <w:pPr>
              <w:spacing w:after="0"/>
            </w:pPr>
            <w:r>
              <w:rPr>
                <w:sz w:val="11"/>
              </w:rPr>
              <w:t>Sign Out then refresh</w:t>
            </w:r>
          </w:p>
        </w:tc>
        <w:tc>
          <w:tcPr>
            <w:tcW w:type="dxa" w:w="5151"/>
            <w:vAlign w:val="top"/>
          </w:tcPr>
          <w:p>
            <w:pPr>
              <w:spacing w:after="0"/>
            </w:pPr>
            <w:r>
              <w:rPr>
                <w:sz w:val="11"/>
              </w:rPr>
              <w:t>Revoked current session credential rejected.</w:t>
            </w:r>
          </w:p>
        </w:tc>
      </w:tr>
      <w:tr>
        <w:trPr>
          <w:cantSplit/>
        </w:trPr>
        <w:tc>
          <w:tcPr>
            <w:tcW w:type="dxa" w:w="5151"/>
            <w:vAlign w:val="top"/>
          </w:tcPr>
          <w:p>
            <w:pPr>
              <w:spacing w:after="0"/>
            </w:pPr>
            <w:r>
              <w:rPr>
                <w:sz w:val="11"/>
              </w:rPr>
              <w:t>SEC-T11</w:t>
            </w:r>
          </w:p>
        </w:tc>
        <w:tc>
          <w:tcPr>
            <w:tcW w:type="dxa" w:w="5151"/>
            <w:vAlign w:val="top"/>
          </w:tcPr>
          <w:p>
            <w:pPr>
              <w:spacing w:after="0"/>
            </w:pPr>
            <w:r>
              <w:rPr>
                <w:sz w:val="11"/>
              </w:rPr>
              <w:t>Token search in Room/logs/diagnostics</w:t>
            </w:r>
          </w:p>
        </w:tc>
        <w:tc>
          <w:tcPr>
            <w:tcW w:type="dxa" w:w="5151"/>
            <w:vAlign w:val="top"/>
          </w:tcPr>
          <w:p>
            <w:pPr>
              <w:spacing w:after="0"/>
            </w:pPr>
            <w:r>
              <w:rPr>
                <w:sz w:val="11"/>
              </w:rPr>
              <w:t>No token material present.</w:t>
            </w:r>
          </w:p>
        </w:tc>
      </w:tr>
      <w:tr>
        <w:trPr>
          <w:cantSplit/>
        </w:trPr>
        <w:tc>
          <w:tcPr>
            <w:tcW w:type="dxa" w:w="5151"/>
            <w:vAlign w:val="top"/>
          </w:tcPr>
          <w:p>
            <w:pPr>
              <w:spacing w:after="0"/>
            </w:pPr>
            <w:r>
              <w:rPr>
                <w:sz w:val="11"/>
              </w:rPr>
              <w:t>SEC-T12</w:t>
            </w:r>
          </w:p>
        </w:tc>
        <w:tc>
          <w:tcPr>
            <w:tcW w:type="dxa" w:w="5151"/>
            <w:vAlign w:val="top"/>
          </w:tcPr>
          <w:p>
            <w:pPr>
              <w:spacing w:after="0"/>
            </w:pPr>
            <w:r>
              <w:rPr>
                <w:sz w:val="11"/>
              </w:rPr>
              <w:t>Production cleartext HTTP</w:t>
            </w:r>
          </w:p>
        </w:tc>
        <w:tc>
          <w:tcPr>
            <w:tcW w:type="dxa" w:w="5151"/>
            <w:vAlign w:val="top"/>
          </w:tcPr>
          <w:p>
            <w:pPr>
              <w:spacing w:after="0"/>
            </w:pPr>
            <w:r>
              <w:rPr>
                <w:sz w:val="11"/>
              </w:rPr>
              <w:t>Blocked.</w:t>
            </w:r>
          </w:p>
        </w:tc>
      </w:tr>
      <w:tr>
        <w:trPr>
          <w:cantSplit/>
        </w:trPr>
        <w:tc>
          <w:tcPr>
            <w:tcW w:type="dxa" w:w="5151"/>
            <w:vAlign w:val="top"/>
          </w:tcPr>
          <w:p>
            <w:pPr>
              <w:spacing w:after="0"/>
            </w:pPr>
            <w:r>
              <w:rPr>
                <w:sz w:val="11"/>
              </w:rPr>
              <w:t>SEC-T13</w:t>
            </w:r>
          </w:p>
        </w:tc>
        <w:tc>
          <w:tcPr>
            <w:tcW w:type="dxa" w:w="5151"/>
            <w:vAlign w:val="top"/>
          </w:tcPr>
          <w:p>
            <w:pPr>
              <w:spacing w:after="0"/>
            </w:pPr>
            <w:r>
              <w:rPr>
                <w:sz w:val="11"/>
              </w:rPr>
              <w:t>Invalid TLS certificate/hostname</w:t>
            </w:r>
          </w:p>
        </w:tc>
        <w:tc>
          <w:tcPr>
            <w:tcW w:type="dxa" w:w="5151"/>
            <w:vAlign w:val="top"/>
          </w:tcPr>
          <w:p>
            <w:pPr>
              <w:spacing w:after="0"/>
            </w:pPr>
            <w:r>
              <w:rPr>
                <w:sz w:val="11"/>
              </w:rPr>
              <w:t>Connection fails; no trust-all fallback.</w:t>
            </w:r>
          </w:p>
        </w:tc>
      </w:tr>
      <w:tr>
        <w:trPr>
          <w:cantSplit/>
        </w:trPr>
        <w:tc>
          <w:tcPr>
            <w:tcW w:type="dxa" w:w="5151"/>
            <w:vAlign w:val="top"/>
          </w:tcPr>
          <w:p>
            <w:pPr>
              <w:spacing w:after="0"/>
            </w:pPr>
            <w:r>
              <w:rPr>
                <w:sz w:val="11"/>
              </w:rPr>
              <w:t>SEC-T14</w:t>
            </w:r>
          </w:p>
        </w:tc>
        <w:tc>
          <w:tcPr>
            <w:tcW w:type="dxa" w:w="5151"/>
            <w:vAlign w:val="top"/>
          </w:tcPr>
          <w:p>
            <w:pPr>
              <w:spacing w:after="0"/>
            </w:pPr>
            <w:r>
              <w:rPr>
                <w:sz w:val="11"/>
              </w:rPr>
              <w:t>Object-storage ref without authorization</w:t>
            </w:r>
          </w:p>
        </w:tc>
        <w:tc>
          <w:tcPr>
            <w:tcW w:type="dxa" w:w="5151"/>
            <w:vAlign w:val="top"/>
          </w:tcPr>
          <w:p>
            <w:pPr>
              <w:spacing w:after="0"/>
            </w:pPr>
            <w:r>
              <w:rPr>
                <w:sz w:val="11"/>
              </w:rPr>
              <w:t>Cannot download Evidence.</w:t>
            </w:r>
          </w:p>
        </w:tc>
      </w:tr>
      <w:tr>
        <w:trPr>
          <w:cantSplit/>
        </w:trPr>
        <w:tc>
          <w:tcPr>
            <w:tcW w:type="dxa" w:w="5151"/>
            <w:vAlign w:val="top"/>
          </w:tcPr>
          <w:p>
            <w:pPr>
              <w:spacing w:after="0"/>
            </w:pPr>
            <w:r>
              <w:rPr>
                <w:sz w:val="11"/>
              </w:rPr>
              <w:t>SEC-T15</w:t>
            </w:r>
          </w:p>
        </w:tc>
        <w:tc>
          <w:tcPr>
            <w:tcW w:type="dxa" w:w="5151"/>
            <w:vAlign w:val="top"/>
          </w:tcPr>
          <w:p>
            <w:pPr>
              <w:spacing w:after="0"/>
            </w:pPr>
            <w:r>
              <w:rPr>
                <w:sz w:val="11"/>
              </w:rPr>
              <w:t>SQL-injection payload</w:t>
            </w:r>
          </w:p>
        </w:tc>
        <w:tc>
          <w:tcPr>
            <w:tcW w:type="dxa" w:w="5151"/>
            <w:vAlign w:val="top"/>
          </w:tcPr>
          <w:p>
            <w:pPr>
              <w:spacing w:after="0"/>
            </w:pPr>
            <w:r>
              <w:rPr>
                <w:sz w:val="11"/>
              </w:rPr>
              <w:t>Treated as data; parameterized query remains safe.</w:t>
            </w:r>
          </w:p>
        </w:tc>
      </w:tr>
      <w:tr>
        <w:trPr>
          <w:cantSplit/>
        </w:trPr>
        <w:tc>
          <w:tcPr>
            <w:tcW w:type="dxa" w:w="5151"/>
            <w:vAlign w:val="top"/>
          </w:tcPr>
          <w:p>
            <w:pPr>
              <w:spacing w:after="0"/>
            </w:pPr>
            <w:r>
              <w:rPr>
                <w:sz w:val="11"/>
              </w:rPr>
              <w:t>SEC-T16</w:t>
            </w:r>
          </w:p>
        </w:tc>
        <w:tc>
          <w:tcPr>
            <w:tcW w:type="dxa" w:w="5151"/>
            <w:vAlign w:val="top"/>
          </w:tcPr>
          <w:p>
            <w:pPr>
              <w:spacing w:after="0"/>
            </w:pPr>
            <w:r>
              <w:rPr>
                <w:sz w:val="11"/>
              </w:rPr>
              <w:t>Offline mutation after server-known revocation</w:t>
            </w:r>
          </w:p>
        </w:tc>
        <w:tc>
          <w:tcPr>
            <w:tcW w:type="dxa" w:w="5151"/>
            <w:vAlign w:val="top"/>
          </w:tcPr>
          <w:p>
            <w:pPr>
              <w:spacing w:after="0"/>
            </w:pPr>
            <w:r>
              <w:rPr>
                <w:sz w:val="11"/>
              </w:rPr>
              <w:t>Rejected; attempted state preserved for recovery.</w:t>
            </w:r>
          </w:p>
        </w:tc>
      </w:tr>
      <w:tr>
        <w:trPr>
          <w:cantSplit/>
        </w:trPr>
        <w:tc>
          <w:tcPr>
            <w:tcW w:type="dxa" w:w="5151"/>
            <w:vAlign w:val="top"/>
          </w:tcPr>
          <w:p>
            <w:pPr>
              <w:spacing w:after="0"/>
            </w:pPr>
            <w:r>
              <w:rPr>
                <w:sz w:val="11"/>
              </w:rPr>
              <w:t>SEC-T17</w:t>
            </w:r>
          </w:p>
        </w:tc>
        <w:tc>
          <w:tcPr>
            <w:tcW w:type="dxa" w:w="5151"/>
            <w:vAlign w:val="top"/>
          </w:tcPr>
          <w:p>
            <w:pPr>
              <w:spacing w:after="0"/>
            </w:pPr>
            <w:r>
              <w:rPr>
                <w:sz w:val="11"/>
              </w:rPr>
              <w:t>Production Room file inspected at rest</w:t>
            </w:r>
          </w:p>
        </w:tc>
        <w:tc>
          <w:tcPr>
            <w:tcW w:type="dxa" w:w="5151"/>
            <w:vAlign w:val="top"/>
          </w:tcPr>
          <w:p>
            <w:pPr>
              <w:spacing w:after="0"/>
            </w:pPr>
            <w:r>
              <w:rPr>
                <w:sz w:val="11"/>
              </w:rPr>
              <w:t>Business database is encrypted.</w:t>
            </w:r>
          </w:p>
        </w:tc>
      </w:tr>
      <w:tr>
        <w:trPr>
          <w:cantSplit/>
        </w:trPr>
        <w:tc>
          <w:tcPr>
            <w:tcW w:type="dxa" w:w="5151"/>
            <w:vAlign w:val="top"/>
          </w:tcPr>
          <w:p>
            <w:pPr>
              <w:spacing w:after="0"/>
            </w:pPr>
            <w:r>
              <w:rPr>
                <w:sz w:val="11"/>
              </w:rPr>
              <w:t>SEC-T18</w:t>
            </w:r>
          </w:p>
        </w:tc>
        <w:tc>
          <w:tcPr>
            <w:tcW w:type="dxa" w:w="5151"/>
            <w:vAlign w:val="top"/>
          </w:tcPr>
          <w:p>
            <w:pPr>
              <w:spacing w:after="0"/>
            </w:pPr>
            <w:r>
              <w:rPr>
                <w:sz w:val="11"/>
              </w:rPr>
              <w:t>Local PHOTO file inspected outside app flow</w:t>
            </w:r>
          </w:p>
        </w:tc>
        <w:tc>
          <w:tcPr>
            <w:tcW w:type="dxa" w:w="5151"/>
            <w:vAlign w:val="top"/>
          </w:tcPr>
          <w:p>
            <w:pPr>
              <w:spacing w:after="0"/>
            </w:pPr>
            <w:r>
              <w:rPr>
                <w:sz w:val="11"/>
              </w:rPr>
              <w:t>Application-level encrypted content is not plaintext Evidence.</w:t>
            </w:r>
          </w:p>
        </w:tc>
      </w:tr>
      <w:tr>
        <w:trPr>
          <w:cantSplit/>
        </w:trPr>
        <w:tc>
          <w:tcPr>
            <w:tcW w:type="dxa" w:w="5151"/>
            <w:vAlign w:val="top"/>
          </w:tcPr>
          <w:p>
            <w:pPr>
              <w:spacing w:after="0"/>
            </w:pPr>
            <w:r>
              <w:rPr>
                <w:sz w:val="11"/>
              </w:rPr>
              <w:t>SEC-T19</w:t>
            </w:r>
          </w:p>
        </w:tc>
        <w:tc>
          <w:tcPr>
            <w:tcW w:type="dxa" w:w="5151"/>
            <w:vAlign w:val="top"/>
          </w:tcPr>
          <w:p>
            <w:pPr>
              <w:spacing w:after="0"/>
            </w:pPr>
            <w:r>
              <w:rPr>
                <w:sz w:val="11"/>
              </w:rPr>
              <w:t>Android backup extraction</w:t>
            </w:r>
          </w:p>
        </w:tc>
        <w:tc>
          <w:tcPr>
            <w:tcW w:type="dxa" w:w="5151"/>
            <w:vAlign w:val="top"/>
          </w:tcPr>
          <w:p>
            <w:pPr>
              <w:spacing w:after="0"/>
            </w:pPr>
            <w:r>
              <w:rPr>
                <w:sz w:val="11"/>
              </w:rPr>
              <w:t>No auth secrets, DB keys or protected offline stores.</w:t>
            </w:r>
          </w:p>
        </w:tc>
      </w:tr>
      <w:tr>
        <w:trPr>
          <w:cantSplit/>
        </w:trPr>
        <w:tc>
          <w:tcPr>
            <w:tcW w:type="dxa" w:w="5151"/>
            <w:vAlign w:val="top"/>
          </w:tcPr>
          <w:p>
            <w:pPr>
              <w:spacing w:after="0"/>
            </w:pPr>
            <w:r>
              <w:rPr>
                <w:sz w:val="11"/>
              </w:rPr>
              <w:t>SEC-T20</w:t>
            </w:r>
          </w:p>
        </w:tc>
        <w:tc>
          <w:tcPr>
            <w:tcW w:type="dxa" w:w="5151"/>
            <w:vAlign w:val="top"/>
          </w:tcPr>
          <w:p>
            <w:pPr>
              <w:spacing w:after="0"/>
            </w:pPr>
            <w:r>
              <w:rPr>
                <w:sz w:val="11"/>
              </w:rPr>
              <w:t>PHOTO with GPS EXIF</w:t>
            </w:r>
          </w:p>
        </w:tc>
        <w:tc>
          <w:tcPr>
            <w:tcW w:type="dxa" w:w="5151"/>
            <w:vAlign w:val="top"/>
          </w:tcPr>
          <w:p>
            <w:pPr>
              <w:spacing w:after="0"/>
            </w:pPr>
            <w:r>
              <w:rPr>
                <w:sz w:val="11"/>
              </w:rPr>
              <w:t>Canonical Evidence strips GPS/unnecessary EXIF.</w:t>
            </w:r>
          </w:p>
        </w:tc>
      </w:tr>
      <w:tr>
        <w:trPr>
          <w:cantSplit/>
        </w:trPr>
        <w:tc>
          <w:tcPr>
            <w:tcW w:type="dxa" w:w="5151"/>
            <w:vAlign w:val="top"/>
          </w:tcPr>
          <w:p>
            <w:pPr>
              <w:spacing w:after="0"/>
            </w:pPr>
            <w:r>
              <w:rPr>
                <w:sz w:val="11"/>
              </w:rPr>
              <w:t>SEC-T21</w:t>
            </w:r>
          </w:p>
        </w:tc>
        <w:tc>
          <w:tcPr>
            <w:tcW w:type="dxa" w:w="5151"/>
            <w:vAlign w:val="top"/>
          </w:tcPr>
          <w:p>
            <w:pPr>
              <w:spacing w:after="0"/>
            </w:pPr>
            <w:r>
              <w:rPr>
                <w:sz w:val="11"/>
              </w:rPr>
              <w:t>Device installation metadata</w:t>
            </w:r>
          </w:p>
        </w:tc>
        <w:tc>
          <w:tcPr>
            <w:tcW w:type="dxa" w:w="5151"/>
            <w:vAlign w:val="top"/>
          </w:tcPr>
          <w:p>
            <w:pPr>
              <w:spacing w:after="0"/>
            </w:pPr>
            <w:r>
              <w:rPr>
                <w:sz w:val="11"/>
              </w:rPr>
              <w:t>Uses generated installation UUID; no IMEI/serial/ad ID.</w:t>
            </w:r>
          </w:p>
        </w:tc>
      </w:tr>
      <w:tr>
        <w:trPr>
          <w:cantSplit/>
        </w:trPr>
        <w:tc>
          <w:tcPr>
            <w:tcW w:type="dxa" w:w="5151"/>
            <w:vAlign w:val="top"/>
          </w:tcPr>
          <w:p>
            <w:pPr>
              <w:spacing w:after="0"/>
            </w:pPr>
            <w:r>
              <w:rPr>
                <w:sz w:val="11"/>
              </w:rPr>
              <w:t>SEC-T22</w:t>
            </w:r>
          </w:p>
        </w:tc>
        <w:tc>
          <w:tcPr>
            <w:tcW w:type="dxa" w:w="5151"/>
            <w:vAlign w:val="top"/>
          </w:tcPr>
          <w:p>
            <w:pPr>
              <w:spacing w:after="0"/>
            </w:pPr>
            <w:r>
              <w:rPr>
                <w:sz w:val="11"/>
              </w:rPr>
              <w:t>Audit secret redaction</w:t>
            </w:r>
          </w:p>
        </w:tc>
        <w:tc>
          <w:tcPr>
            <w:tcW w:type="dxa" w:w="5151"/>
            <w:vAlign w:val="top"/>
          </w:tcPr>
          <w:p>
            <w:pPr>
              <w:spacing w:after="0"/>
            </w:pPr>
            <w:r>
              <w:rPr>
                <w:sz w:val="11"/>
              </w:rPr>
              <w:t>No password/token/key in AuditEvent before/after/metadata.</w:t>
            </w:r>
          </w:p>
        </w:tc>
      </w:tr>
      <w:tr>
        <w:trPr>
          <w:cantSplit/>
        </w:trPr>
        <w:tc>
          <w:tcPr>
            <w:tcW w:type="dxa" w:w="5151"/>
            <w:vAlign w:val="top"/>
          </w:tcPr>
          <w:p>
            <w:pPr>
              <w:spacing w:after="0"/>
            </w:pPr>
            <w:r>
              <w:rPr>
                <w:sz w:val="11"/>
              </w:rPr>
              <w:t>SEC-T23</w:t>
            </w:r>
          </w:p>
        </w:tc>
        <w:tc>
          <w:tcPr>
            <w:tcW w:type="dxa" w:w="5151"/>
            <w:vAlign w:val="top"/>
          </w:tcPr>
          <w:p>
            <w:pPr>
              <w:spacing w:after="0"/>
            </w:pPr>
            <w:r>
              <w:rPr>
                <w:sz w:val="11"/>
              </w:rPr>
              <w:t>SYSTEM AuditEvent</w:t>
            </w:r>
          </w:p>
        </w:tc>
        <w:tc>
          <w:tcPr>
            <w:tcW w:type="dxa" w:w="5151"/>
            <w:vAlign w:val="top"/>
          </w:tcPr>
          <w:p>
            <w:pPr>
              <w:spacing w:after="0"/>
            </w:pPr>
            <w:r>
              <w:rPr>
                <w:sz w:val="11"/>
              </w:rPr>
              <w:t>actorUserId null allowed only with SYSTEM/source context.</w:t>
            </w:r>
          </w:p>
        </w:tc>
      </w:tr>
      <w:tr>
        <w:trPr>
          <w:cantSplit/>
        </w:trPr>
        <w:tc>
          <w:tcPr>
            <w:tcW w:type="dxa" w:w="5151"/>
            <w:vAlign w:val="top"/>
          </w:tcPr>
          <w:p>
            <w:pPr>
              <w:spacing w:after="0"/>
            </w:pPr>
            <w:r>
              <w:rPr>
                <w:sz w:val="11"/>
              </w:rPr>
              <w:t>SEC-T24</w:t>
            </w:r>
          </w:p>
        </w:tc>
        <w:tc>
          <w:tcPr>
            <w:tcW w:type="dxa" w:w="5151"/>
            <w:vAlign w:val="top"/>
          </w:tcPr>
          <w:p>
            <w:pPr>
              <w:spacing w:after="0"/>
            </w:pPr>
            <w:r>
              <w:rPr>
                <w:sz w:val="11"/>
              </w:rPr>
              <w:t>Failed Sign In flood</w:t>
            </w:r>
          </w:p>
        </w:tc>
        <w:tc>
          <w:tcPr>
            <w:tcW w:type="dxa" w:w="5151"/>
            <w:vAlign w:val="top"/>
          </w:tcPr>
          <w:p>
            <w:pPr>
              <w:spacing w:after="0"/>
            </w:pPr>
            <w:r>
              <w:rPr>
                <w:sz w:val="11"/>
              </w:rPr>
              <w:t>Security telemetry captures abuse without flooding business Audit Trail.</w:t>
            </w:r>
          </w:p>
        </w:tc>
      </w:tr>
      <w:tr>
        <w:trPr>
          <w:cantSplit/>
        </w:trPr>
        <w:tc>
          <w:tcPr>
            <w:tcW w:type="dxa" w:w="5151"/>
            <w:vAlign w:val="top"/>
          </w:tcPr>
          <w:p>
            <w:pPr>
              <w:spacing w:after="0"/>
            </w:pPr>
            <w:r>
              <w:rPr>
                <w:sz w:val="11"/>
              </w:rPr>
              <w:t>SEC-T25</w:t>
            </w:r>
          </w:p>
        </w:tc>
        <w:tc>
          <w:tcPr>
            <w:tcW w:type="dxa" w:w="5151"/>
            <w:vAlign w:val="top"/>
          </w:tcPr>
          <w:p>
            <w:pPr>
              <w:spacing w:after="0"/>
            </w:pPr>
            <w:r>
              <w:rPr>
                <w:sz w:val="11"/>
              </w:rPr>
              <w:t>Production log inspection</w:t>
            </w:r>
          </w:p>
        </w:tc>
        <w:tc>
          <w:tcPr>
            <w:tcW w:type="dxa" w:w="5151"/>
            <w:vAlign w:val="top"/>
          </w:tcPr>
          <w:p>
            <w:pPr>
              <w:spacing w:after="0"/>
            </w:pPr>
            <w:r>
              <w:rPr>
                <w:sz w:val="11"/>
              </w:rPr>
              <w:t>No secrets, PHOTO bytes, arbitrary Notes or full business payloads.</w:t>
            </w:r>
          </w:p>
        </w:tc>
      </w:tr>
      <w:tr>
        <w:trPr>
          <w:cantSplit/>
        </w:trPr>
        <w:tc>
          <w:tcPr>
            <w:tcW w:type="dxa" w:w="5151"/>
            <w:vAlign w:val="top"/>
          </w:tcPr>
          <w:p>
            <w:pPr>
              <w:spacing w:after="0"/>
            </w:pPr>
            <w:r>
              <w:rPr>
                <w:sz w:val="11"/>
              </w:rPr>
              <w:t>SEC-T26</w:t>
            </w:r>
          </w:p>
        </w:tc>
        <w:tc>
          <w:tcPr>
            <w:tcW w:type="dxa" w:w="5151"/>
            <w:vAlign w:val="top"/>
          </w:tcPr>
          <w:p>
            <w:pPr>
              <w:spacing w:after="0"/>
            </w:pPr>
            <w:r>
              <w:rPr>
                <w:sz w:val="11"/>
              </w:rPr>
              <w:t>Diagnostic package</w:t>
            </w:r>
          </w:p>
        </w:tc>
        <w:tc>
          <w:tcPr>
            <w:tcW w:type="dxa" w:w="5151"/>
            <w:vAlign w:val="top"/>
          </w:tcPr>
          <w:p>
            <w:pPr>
              <w:spacing w:after="0"/>
            </w:pPr>
            <w:r>
              <w:rPr>
                <w:sz w:val="11"/>
              </w:rPr>
              <w:t>Contains only approved sanitized technical metadata.</w:t>
            </w:r>
          </w:p>
        </w:tc>
      </w:tr>
      <w:tr>
        <w:trPr>
          <w:cantSplit/>
        </w:trPr>
        <w:tc>
          <w:tcPr>
            <w:tcW w:type="dxa" w:w="5151"/>
            <w:vAlign w:val="top"/>
          </w:tcPr>
          <w:p>
            <w:pPr>
              <w:spacing w:after="0"/>
            </w:pPr>
            <w:r>
              <w:rPr>
                <w:sz w:val="11"/>
              </w:rPr>
              <w:t>SEC-T27</w:t>
            </w:r>
          </w:p>
        </w:tc>
        <w:tc>
          <w:tcPr>
            <w:tcW w:type="dxa" w:w="5151"/>
            <w:vAlign w:val="top"/>
          </w:tcPr>
          <w:p>
            <w:pPr>
              <w:spacing w:after="0"/>
            </w:pPr>
            <w:r>
              <w:rPr>
                <w:sz w:val="11"/>
              </w:rPr>
              <w:t>5 failed Sign Ins within 15 min</w:t>
            </w:r>
          </w:p>
        </w:tc>
        <w:tc>
          <w:tcPr>
            <w:tcW w:type="dxa" w:w="5151"/>
            <w:vAlign w:val="top"/>
          </w:tcPr>
          <w:p>
            <w:pPr>
              <w:spacing w:after="0"/>
            </w:pPr>
            <w:r>
              <w:rPr>
                <w:sz w:val="11"/>
              </w:rPr>
              <w:t>Temporary account-identifier throttling activates.</w:t>
            </w:r>
          </w:p>
        </w:tc>
      </w:tr>
      <w:tr>
        <w:trPr>
          <w:cantSplit/>
        </w:trPr>
        <w:tc>
          <w:tcPr>
            <w:tcW w:type="dxa" w:w="5151"/>
            <w:vAlign w:val="top"/>
          </w:tcPr>
          <w:p>
            <w:pPr>
              <w:spacing w:after="0"/>
            </w:pPr>
            <w:r>
              <w:rPr>
                <w:sz w:val="11"/>
              </w:rPr>
              <w:t>SEC-T28</w:t>
            </w:r>
          </w:p>
        </w:tc>
        <w:tc>
          <w:tcPr>
            <w:tcW w:type="dxa" w:w="5151"/>
            <w:vAlign w:val="top"/>
          </w:tcPr>
          <w:p>
            <w:pPr>
              <w:spacing w:after="0"/>
            </w:pPr>
            <w:r>
              <w:rPr>
                <w:sz w:val="11"/>
              </w:rPr>
              <w:t>Successful Sign In after permitted recovery</w:t>
            </w:r>
          </w:p>
        </w:tc>
        <w:tc>
          <w:tcPr>
            <w:tcW w:type="dxa" w:w="5151"/>
            <w:vAlign w:val="top"/>
          </w:tcPr>
          <w:p>
            <w:pPr>
              <w:spacing w:after="0"/>
            </w:pPr>
            <w:r>
              <w:rPr>
                <w:sz w:val="11"/>
              </w:rPr>
              <w:t>Account-level failed-attempt counter follows reset policy.</w:t>
            </w:r>
          </w:p>
        </w:tc>
      </w:tr>
      <w:tr>
        <w:trPr>
          <w:cantSplit/>
        </w:trPr>
        <w:tc>
          <w:tcPr>
            <w:tcW w:type="dxa" w:w="5151"/>
            <w:vAlign w:val="top"/>
          </w:tcPr>
          <w:p>
            <w:pPr>
              <w:spacing w:after="0"/>
            </w:pPr>
            <w:r>
              <w:rPr>
                <w:sz w:val="11"/>
              </w:rPr>
              <w:t>SEC-T29</w:t>
            </w:r>
          </w:p>
        </w:tc>
        <w:tc>
          <w:tcPr>
            <w:tcW w:type="dxa" w:w="5151"/>
            <w:vAlign w:val="top"/>
          </w:tcPr>
          <w:p>
            <w:pPr>
              <w:spacing w:after="0"/>
            </w:pPr>
            <w:r>
              <w:rPr>
                <w:sz w:val="11"/>
              </w:rPr>
              <w:t>4th reset request within 60 min</w:t>
            </w:r>
          </w:p>
        </w:tc>
        <w:tc>
          <w:tcPr>
            <w:tcW w:type="dxa" w:w="5151"/>
            <w:vAlign w:val="top"/>
          </w:tcPr>
          <w:p>
            <w:pPr>
              <w:spacing w:after="0"/>
            </w:pPr>
            <w:r>
              <w:rPr>
                <w:sz w:val="11"/>
              </w:rPr>
              <w:t>Rate-limited while response remains non-enumerating.</w:t>
            </w:r>
          </w:p>
        </w:tc>
      </w:tr>
      <w:tr>
        <w:trPr>
          <w:cantSplit/>
        </w:trPr>
        <w:tc>
          <w:tcPr>
            <w:tcW w:type="dxa" w:w="5151"/>
            <w:vAlign w:val="top"/>
          </w:tcPr>
          <w:p>
            <w:pPr>
              <w:spacing w:after="0"/>
            </w:pPr>
            <w:r>
              <w:rPr>
                <w:sz w:val="11"/>
              </w:rPr>
              <w:t>SEC-T30</w:t>
            </w:r>
          </w:p>
        </w:tc>
        <w:tc>
          <w:tcPr>
            <w:tcW w:type="dxa" w:w="5151"/>
            <w:vAlign w:val="top"/>
          </w:tcPr>
          <w:p>
            <w:pPr>
              <w:spacing w:after="0"/>
            </w:pPr>
            <w:r>
              <w:rPr>
                <w:sz w:val="11"/>
              </w:rPr>
              <w:t>Reset token after 30 min</w:t>
            </w:r>
          </w:p>
        </w:tc>
        <w:tc>
          <w:tcPr>
            <w:tcW w:type="dxa" w:w="5151"/>
            <w:vAlign w:val="top"/>
          </w:tcPr>
          <w:p>
            <w:pPr>
              <w:spacing w:after="0"/>
            </w:pPr>
            <w:r>
              <w:rPr>
                <w:sz w:val="11"/>
              </w:rPr>
              <w:t>Rejected.</w:t>
            </w:r>
          </w:p>
        </w:tc>
      </w:tr>
      <w:tr>
        <w:trPr>
          <w:cantSplit/>
        </w:trPr>
        <w:tc>
          <w:tcPr>
            <w:tcW w:type="dxa" w:w="5151"/>
            <w:vAlign w:val="top"/>
          </w:tcPr>
          <w:p>
            <w:pPr>
              <w:spacing w:after="0"/>
            </w:pPr>
            <w:r>
              <w:rPr>
                <w:sz w:val="11"/>
              </w:rPr>
              <w:t>SEC-T31</w:t>
            </w:r>
          </w:p>
        </w:tc>
        <w:tc>
          <w:tcPr>
            <w:tcW w:type="dxa" w:w="5151"/>
            <w:vAlign w:val="top"/>
          </w:tcPr>
          <w:p>
            <w:pPr>
              <w:spacing w:after="0"/>
            </w:pPr>
            <w:r>
              <w:rPr>
                <w:sz w:val="11"/>
              </w:rPr>
              <w:t>Reset token replay</w:t>
            </w:r>
          </w:p>
        </w:tc>
        <w:tc>
          <w:tcPr>
            <w:tcW w:type="dxa" w:w="5151"/>
            <w:vAlign w:val="top"/>
          </w:tcPr>
          <w:p>
            <w:pPr>
              <w:spacing w:after="0"/>
            </w:pPr>
            <w:r>
              <w:rPr>
                <w:sz w:val="11"/>
              </w:rPr>
              <w:t>Rejected after first successful use.</w:t>
            </w:r>
          </w:p>
        </w:tc>
      </w:tr>
      <w:tr>
        <w:trPr>
          <w:cantSplit/>
        </w:trPr>
        <w:tc>
          <w:tcPr>
            <w:tcW w:type="dxa" w:w="5151"/>
            <w:vAlign w:val="top"/>
          </w:tcPr>
          <w:p>
            <w:pPr>
              <w:spacing w:after="0"/>
            </w:pPr>
            <w:r>
              <w:rPr>
                <w:sz w:val="11"/>
              </w:rPr>
              <w:t>SEC-T32</w:t>
            </w:r>
          </w:p>
        </w:tc>
        <w:tc>
          <w:tcPr>
            <w:tcW w:type="dxa" w:w="5151"/>
            <w:vAlign w:val="top"/>
          </w:tcPr>
          <w:p>
            <w:pPr>
              <w:spacing w:after="0"/>
            </w:pPr>
            <w:r>
              <w:rPr>
                <w:sz w:val="11"/>
              </w:rPr>
              <w:t>429 during sync</w:t>
            </w:r>
          </w:p>
        </w:tc>
        <w:tc>
          <w:tcPr>
            <w:tcW w:type="dxa" w:w="5151"/>
            <w:vAlign w:val="top"/>
          </w:tcPr>
          <w:p>
            <w:pPr>
              <w:spacing w:after="0"/>
            </w:pPr>
            <w:r>
              <w:rPr>
                <w:sz w:val="11"/>
              </w:rPr>
              <w:t>Retry-After honored; no semantic mutation loss.</w:t>
            </w:r>
          </w:p>
        </w:tc>
      </w:tr>
      <w:tr>
        <w:trPr>
          <w:cantSplit/>
        </w:trPr>
        <w:tc>
          <w:tcPr>
            <w:tcW w:type="dxa" w:w="5151"/>
            <w:vAlign w:val="top"/>
          </w:tcPr>
          <w:p>
            <w:pPr>
              <w:spacing w:after="0"/>
            </w:pPr>
            <w:r>
              <w:rPr>
                <w:sz w:val="11"/>
              </w:rPr>
              <w:t>SEC-T33</w:t>
            </w:r>
          </w:p>
        </w:tc>
        <w:tc>
          <w:tcPr>
            <w:tcW w:type="dxa" w:w="5151"/>
            <w:vAlign w:val="top"/>
          </w:tcPr>
          <w:p>
            <w:pPr>
              <w:spacing w:after="0"/>
            </w:pPr>
            <w:r>
              <w:rPr>
                <w:sz w:val="11"/>
              </w:rPr>
              <w:t>Database key unavailable</w:t>
            </w:r>
          </w:p>
        </w:tc>
        <w:tc>
          <w:tcPr>
            <w:tcW w:type="dxa" w:w="5151"/>
            <w:vAlign w:val="top"/>
          </w:tcPr>
          <w:p>
            <w:pPr>
              <w:spacing w:after="0"/>
            </w:pPr>
            <w:r>
              <w:rPr>
                <w:sz w:val="11"/>
              </w:rPr>
              <w:t>No encryption bypass; safe recovery path used.</w:t>
            </w:r>
          </w:p>
        </w:tc>
      </w:tr>
      <w:tr>
        <w:trPr>
          <w:cantSplit/>
        </w:trPr>
        <w:tc>
          <w:tcPr>
            <w:tcW w:type="dxa" w:w="5151"/>
            <w:vAlign w:val="top"/>
          </w:tcPr>
          <w:p>
            <w:pPr>
              <w:spacing w:after="0"/>
            </w:pPr>
            <w:r>
              <w:rPr>
                <w:sz w:val="11"/>
              </w:rPr>
              <w:t>SEC-T34</w:t>
            </w:r>
          </w:p>
        </w:tc>
        <w:tc>
          <w:tcPr>
            <w:tcW w:type="dxa" w:w="5151"/>
            <w:vAlign w:val="top"/>
          </w:tcPr>
          <w:p>
            <w:pPr>
              <w:spacing w:after="0"/>
            </w:pPr>
            <w:r>
              <w:rPr>
                <w:sz w:val="11"/>
              </w:rPr>
              <w:t>Production secret scan in APK/repository</w:t>
            </w:r>
          </w:p>
        </w:tc>
        <w:tc>
          <w:tcPr>
            <w:tcW w:type="dxa" w:w="5151"/>
            <w:vAlign w:val="top"/>
          </w:tcPr>
          <w:p>
            <w:pPr>
              <w:spacing w:after="0"/>
            </w:pPr>
            <w:r>
              <w:rPr>
                <w:sz w:val="11"/>
              </w:rPr>
              <w:t>No DB/object-store/token/signing secrets embedded.</w:t>
            </w:r>
          </w:p>
        </w:tc>
      </w:tr>
      <w:tr>
        <w:trPr>
          <w:cantSplit/>
        </w:trPr>
        <w:tc>
          <w:tcPr>
            <w:tcW w:type="dxa" w:w="5151"/>
            <w:vAlign w:val="top"/>
          </w:tcPr>
          <w:p>
            <w:pPr>
              <w:spacing w:after="0"/>
            </w:pPr>
            <w:r>
              <w:rPr>
                <w:sz w:val="11"/>
              </w:rPr>
              <w:t>SEC-T35</w:t>
            </w:r>
          </w:p>
        </w:tc>
        <w:tc>
          <w:tcPr>
            <w:tcW w:type="dxa" w:w="5151"/>
            <w:vAlign w:val="top"/>
          </w:tcPr>
          <w:p>
            <w:pPr>
              <w:spacing w:after="0"/>
            </w:pPr>
            <w:r>
              <w:rPr>
                <w:sz w:val="11"/>
              </w:rPr>
              <w:t>Debug trust/logging in release artifact</w:t>
            </w:r>
          </w:p>
        </w:tc>
        <w:tc>
          <w:tcPr>
            <w:tcW w:type="dxa" w:w="5151"/>
            <w:vAlign w:val="top"/>
          </w:tcPr>
          <w:p>
            <w:pPr>
              <w:spacing w:after="0"/>
            </w:pPr>
            <w:r>
              <w:rPr>
                <w:sz w:val="11"/>
              </w:rPr>
              <w:t>Absent.</w:t>
            </w:r>
          </w:p>
        </w:tc>
      </w:tr>
      <w:tr>
        <w:trPr>
          <w:cantSplit/>
        </w:trPr>
        <w:tc>
          <w:tcPr>
            <w:tcW w:type="dxa" w:w="5151"/>
            <w:vAlign w:val="top"/>
          </w:tcPr>
          <w:p>
            <w:pPr>
              <w:spacing w:after="0"/>
            </w:pPr>
            <w:r>
              <w:rPr>
                <w:sz w:val="11"/>
              </w:rPr>
              <w:t>SEC-T36</w:t>
            </w:r>
          </w:p>
        </w:tc>
        <w:tc>
          <w:tcPr>
            <w:tcW w:type="dxa" w:w="5151"/>
            <w:vAlign w:val="top"/>
          </w:tcPr>
          <w:p>
            <w:pPr>
              <w:spacing w:after="0"/>
            </w:pPr>
            <w:r>
              <w:rPr>
                <w:sz w:val="11"/>
              </w:rPr>
              <w:t>Unauthorized cross-tenant 404/403 behavior</w:t>
            </w:r>
          </w:p>
        </w:tc>
        <w:tc>
          <w:tcPr>
            <w:tcW w:type="dxa" w:w="5151"/>
            <w:vAlign w:val="top"/>
          </w:tcPr>
          <w:p>
            <w:pPr>
              <w:spacing w:after="0"/>
            </w:pPr>
            <w:r>
              <w:rPr>
                <w:sz w:val="11"/>
              </w:rPr>
              <w:t>Does not reveal protected resource metadata.</w:t>
            </w:r>
          </w:p>
        </w:tc>
      </w:tr>
      <w:tr>
        <w:trPr>
          <w:cantSplit/>
        </w:trPr>
        <w:tc>
          <w:tcPr>
            <w:tcW w:type="dxa" w:w="5151"/>
            <w:vAlign w:val="top"/>
          </w:tcPr>
          <w:p>
            <w:pPr>
              <w:spacing w:after="0"/>
            </w:pPr>
            <w:r>
              <w:rPr>
                <w:sz w:val="11"/>
              </w:rPr>
              <w:t>SEC-T37</w:t>
            </w:r>
          </w:p>
        </w:tc>
        <w:tc>
          <w:tcPr>
            <w:tcW w:type="dxa" w:w="5151"/>
            <w:vAlign w:val="top"/>
          </w:tcPr>
          <w:p>
            <w:pPr>
              <w:spacing w:after="0"/>
            </w:pPr>
            <w:r>
              <w:rPr>
                <w:sz w:val="11"/>
              </w:rPr>
              <w:t>Corrupt Evidence hash</w:t>
            </w:r>
          </w:p>
        </w:tc>
        <w:tc>
          <w:tcPr>
            <w:tcW w:type="dxa" w:w="5151"/>
            <w:vAlign w:val="top"/>
          </w:tcPr>
          <w:p>
            <w:pPr>
              <w:spacing w:after="0"/>
            </w:pPr>
            <w:r>
              <w:rPr>
                <w:sz w:val="11"/>
              </w:rPr>
              <w:t>Finalization blocked; safe retry/recovery.</w:t>
            </w:r>
          </w:p>
        </w:tc>
      </w:tr>
      <w:tr>
        <w:trPr>
          <w:cantSplit/>
        </w:trPr>
        <w:tc>
          <w:tcPr>
            <w:tcW w:type="dxa" w:w="5151"/>
            <w:vAlign w:val="top"/>
          </w:tcPr>
          <w:p>
            <w:pPr>
              <w:spacing w:after="0"/>
            </w:pPr>
            <w:r>
              <w:rPr>
                <w:sz w:val="11"/>
              </w:rPr>
              <w:t>SEC-T38</w:t>
            </w:r>
          </w:p>
        </w:tc>
        <w:tc>
          <w:tcPr>
            <w:tcW w:type="dxa" w:w="5151"/>
            <w:vAlign w:val="top"/>
          </w:tcPr>
          <w:p>
            <w:pPr>
              <w:spacing w:after="0"/>
            </w:pPr>
            <w:r>
              <w:rPr>
                <w:sz w:val="11"/>
              </w:rPr>
              <w:t>Internal server exception</w:t>
            </w:r>
          </w:p>
        </w:tc>
        <w:tc>
          <w:tcPr>
            <w:tcW w:type="dxa" w:w="5151"/>
            <w:vAlign w:val="top"/>
          </w:tcPr>
          <w:p>
            <w:pPr>
              <w:spacing w:after="0"/>
            </w:pPr>
            <w:r>
              <w:rPr>
                <w:sz w:val="11"/>
              </w:rPr>
              <w:t>Generic API error to client; protected telemetry has diagnostic detail.</w:t>
            </w:r>
          </w:p>
        </w:tc>
      </w:tr>
      <w:tr>
        <w:trPr>
          <w:cantSplit/>
        </w:trPr>
        <w:tc>
          <w:tcPr>
            <w:tcW w:type="dxa" w:w="5151"/>
            <w:vAlign w:val="top"/>
          </w:tcPr>
          <w:p>
            <w:pPr>
              <w:spacing w:after="0"/>
            </w:pPr>
            <w:r>
              <w:rPr>
                <w:sz w:val="11"/>
              </w:rPr>
              <w:t>SEC-T39</w:t>
            </w:r>
          </w:p>
        </w:tc>
        <w:tc>
          <w:tcPr>
            <w:tcW w:type="dxa" w:w="5151"/>
            <w:vAlign w:val="top"/>
          </w:tcPr>
          <w:p>
            <w:pPr>
              <w:spacing w:after="0"/>
            </w:pPr>
            <w:r>
              <w:rPr>
                <w:sz w:val="11"/>
              </w:rPr>
              <w:t>User disabled after historical actions</w:t>
            </w:r>
          </w:p>
        </w:tc>
        <w:tc>
          <w:tcPr>
            <w:tcW w:type="dxa" w:w="5151"/>
            <w:vAlign w:val="top"/>
          </w:tcPr>
          <w:p>
            <w:pPr>
              <w:spacing w:after="0"/>
            </w:pPr>
            <w:r>
              <w:rPr>
                <w:sz w:val="11"/>
              </w:rPr>
              <w:t>Historical actor attribution remains intact.</w:t>
            </w:r>
          </w:p>
        </w:tc>
      </w:tr>
      <w:tr>
        <w:trPr>
          <w:cantSplit/>
        </w:trPr>
        <w:tc>
          <w:tcPr>
            <w:tcW w:type="dxa" w:w="5151"/>
            <w:vAlign w:val="top"/>
          </w:tcPr>
          <w:p>
            <w:pPr>
              <w:spacing w:after="0"/>
            </w:pPr>
            <w:r>
              <w:rPr>
                <w:sz w:val="11"/>
              </w:rPr>
              <w:t>SEC-T40</w:t>
            </w:r>
          </w:p>
        </w:tc>
        <w:tc>
          <w:tcPr>
            <w:tcW w:type="dxa" w:w="5151"/>
            <w:vAlign w:val="top"/>
          </w:tcPr>
          <w:p>
            <w:pPr>
              <w:spacing w:after="0"/>
            </w:pPr>
            <w:r>
              <w:rPr>
                <w:sz w:val="11"/>
              </w:rPr>
              <w:t>Privacy deletion process</w:t>
            </w:r>
          </w:p>
        </w:tc>
        <w:tc>
          <w:tcPr>
            <w:tcW w:type="dxa" w:w="5151"/>
            <w:vAlign w:val="top"/>
          </w:tcPr>
          <w:p>
            <w:pPr>
              <w:spacing w:after="0"/>
            </w:pPr>
            <w:r>
              <w:rPr>
                <w:sz w:val="11"/>
              </w:rPr>
              <w:t>Cannot destroy immutable retained inventory/audit history.</w:t>
            </w:r>
          </w:p>
        </w:tc>
      </w:tr>
    </w:tbl>
    <w:p>
      <w:pPr>
        <w:spacing w:after="20"/>
      </w:pPr>
    </w:p>
    <w:p>
      <w:pPr>
        <w:pStyle w:val="Heading1"/>
      </w:pPr>
      <w:r>
        <w:t>24. Acceptance / release gates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726"/>
        <w:gridCol w:w="7726"/>
      </w:tblGrid>
      <w:tr>
        <w:trPr>
          <w:tblHeader w:val="true"/>
          <w:cantSplit/>
        </w:trPr>
        <w:tc>
          <w:tcPr>
            <w:tcW w:type="dxa" w:w="7726"/>
            <w:shd w:fill="D9EAF7"/>
          </w:tcPr>
          <w:p>
            <w:r>
              <w:rPr>
                <w:b/>
                <w:sz w:val="13"/>
              </w:rPr>
              <w:t>Gate</w:t>
            </w:r>
          </w:p>
        </w:tc>
        <w:tc>
          <w:tcPr>
            <w:tcW w:type="dxa" w:w="7726"/>
            <w:shd w:fill="D9EAF7"/>
          </w:tcPr>
          <w:p>
            <w:r>
              <w:rPr>
                <w:b/>
                <w:sz w:val="13"/>
              </w:rPr>
              <w:t>Acceptance criterion</w:t>
            </w:r>
          </w:p>
        </w:tc>
      </w:tr>
      <w:tr>
        <w:trPr>
          <w:cantSplit/>
        </w:trPr>
        <w:tc>
          <w:tcPr>
            <w:tcW w:type="dxa" w:w="7726"/>
            <w:vAlign w:val="top"/>
          </w:tcPr>
          <w:p>
            <w:pPr>
              <w:spacing w:after="0"/>
            </w:pPr>
            <w:r>
              <w:rPr>
                <w:sz w:val="12"/>
              </w:rPr>
              <w:t>SEC-AC01</w:t>
            </w:r>
          </w:p>
        </w:tc>
        <w:tc>
          <w:tcPr>
            <w:tcW w:type="dxa" w:w="7726"/>
            <w:vAlign w:val="top"/>
          </w:tcPr>
          <w:p>
            <w:pPr>
              <w:spacing w:after="0"/>
            </w:pPr>
            <w:r>
              <w:rPr>
                <w:sz w:val="12"/>
              </w:rPr>
              <w:t>All protected server operations are server-authorized; UI gating is never sufficient.</w:t>
            </w:r>
          </w:p>
        </w:tc>
      </w:tr>
      <w:tr>
        <w:trPr>
          <w:cantSplit/>
        </w:trPr>
        <w:tc>
          <w:tcPr>
            <w:tcW w:type="dxa" w:w="7726"/>
            <w:vAlign w:val="top"/>
          </w:tcPr>
          <w:p>
            <w:pPr>
              <w:spacing w:after="0"/>
            </w:pPr>
            <w:r>
              <w:rPr>
                <w:sz w:val="12"/>
              </w:rPr>
              <w:t>SEC-AC02</w:t>
            </w:r>
          </w:p>
        </w:tc>
        <w:tc>
          <w:tcPr>
            <w:tcW w:type="dxa" w:w="7726"/>
            <w:vAlign w:val="top"/>
          </w:tcPr>
          <w:p>
            <w:pPr>
              <w:spacing w:after="0"/>
            </w:pPr>
            <w:r>
              <w:rPr>
                <w:sz w:val="12"/>
              </w:rPr>
              <w:t>Organization isolation is enforced for every tenant-owned resource.</w:t>
            </w:r>
          </w:p>
        </w:tc>
      </w:tr>
      <w:tr>
        <w:trPr>
          <w:cantSplit/>
        </w:trPr>
        <w:tc>
          <w:tcPr>
            <w:tcW w:type="dxa" w:w="7726"/>
            <w:vAlign w:val="top"/>
          </w:tcPr>
          <w:p>
            <w:pPr>
              <w:spacing w:after="0"/>
            </w:pPr>
            <w:r>
              <w:rPr>
                <w:sz w:val="12"/>
              </w:rPr>
              <w:t>SEC-AC03</w:t>
            </w:r>
          </w:p>
        </w:tc>
        <w:tc>
          <w:tcPr>
            <w:tcW w:type="dxa" w:w="7726"/>
            <w:vAlign w:val="top"/>
          </w:tcPr>
          <w:p>
            <w:pPr>
              <w:spacing w:after="0"/>
            </w:pPr>
            <w:r>
              <w:rPr>
                <w:sz w:val="12"/>
              </w:rPr>
              <w:t>V6 auth is Email+Password only: no Remember Me, public Sign Up or SSO.</w:t>
            </w:r>
          </w:p>
        </w:tc>
      </w:tr>
      <w:tr>
        <w:trPr>
          <w:cantSplit/>
        </w:trPr>
        <w:tc>
          <w:tcPr>
            <w:tcW w:type="dxa" w:w="7726"/>
            <w:vAlign w:val="top"/>
          </w:tcPr>
          <w:p>
            <w:pPr>
              <w:spacing w:after="0"/>
            </w:pPr>
            <w:r>
              <w:rPr>
                <w:sz w:val="12"/>
              </w:rPr>
              <w:t>SEC-AC04</w:t>
            </w:r>
          </w:p>
        </w:tc>
        <w:tc>
          <w:tcPr>
            <w:tcW w:type="dxa" w:w="7726"/>
            <w:vAlign w:val="top"/>
          </w:tcPr>
          <w:p>
            <w:pPr>
              <w:spacing w:after="0"/>
            </w:pPr>
            <w:r>
              <w:rPr>
                <w:sz w:val="12"/>
              </w:rPr>
              <w:t>Passwords/tokens/keys/secrets are absent from business storage, logs, audit and diagnostics.</w:t>
            </w:r>
          </w:p>
        </w:tc>
      </w:tr>
      <w:tr>
        <w:trPr>
          <w:cantSplit/>
        </w:trPr>
        <w:tc>
          <w:tcPr>
            <w:tcW w:type="dxa" w:w="7726"/>
            <w:vAlign w:val="top"/>
          </w:tcPr>
          <w:p>
            <w:pPr>
              <w:spacing w:after="0"/>
            </w:pPr>
            <w:r>
              <w:rPr>
                <w:sz w:val="12"/>
              </w:rPr>
              <w:t>SEC-AC05</w:t>
            </w:r>
          </w:p>
        </w:tc>
        <w:tc>
          <w:tcPr>
            <w:tcW w:type="dxa" w:w="7726"/>
            <w:vAlign w:val="top"/>
          </w:tcPr>
          <w:p>
            <w:pPr>
              <w:spacing w:after="0"/>
            </w:pPr>
            <w:r>
              <w:rPr>
                <w:sz w:val="12"/>
              </w:rPr>
              <w:t>Access token lifetime is 15 minutes; refresh/session maximum lifetime is 30 days.</w:t>
            </w:r>
          </w:p>
        </w:tc>
      </w:tr>
      <w:tr>
        <w:trPr>
          <w:cantSplit/>
        </w:trPr>
        <w:tc>
          <w:tcPr>
            <w:tcW w:type="dxa" w:w="7726"/>
            <w:vAlign w:val="top"/>
          </w:tcPr>
          <w:p>
            <w:pPr>
              <w:spacing w:after="0"/>
            </w:pPr>
            <w:r>
              <w:rPr>
                <w:sz w:val="12"/>
              </w:rPr>
              <w:t>SEC-AC06</w:t>
            </w:r>
          </w:p>
        </w:tc>
        <w:tc>
          <w:tcPr>
            <w:tcW w:type="dxa" w:w="7726"/>
            <w:vAlign w:val="top"/>
          </w:tcPr>
          <w:p>
            <w:pPr>
              <w:spacing w:after="0"/>
            </w:pPr>
            <w:r>
              <w:rPr>
                <w:sz w:val="12"/>
              </w:rPr>
              <w:t>Production traffic is HTTPS/TLS only with cleartext disabled and no trust-all bypass.</w:t>
            </w:r>
          </w:p>
        </w:tc>
      </w:tr>
      <w:tr>
        <w:trPr>
          <w:cantSplit/>
        </w:trPr>
        <w:tc>
          <w:tcPr>
            <w:tcW w:type="dxa" w:w="7726"/>
            <w:vAlign w:val="top"/>
          </w:tcPr>
          <w:p>
            <w:pPr>
              <w:spacing w:after="0"/>
            </w:pPr>
            <w:r>
              <w:rPr>
                <w:sz w:val="12"/>
              </w:rPr>
              <w:t>SEC-AC07</w:t>
            </w:r>
          </w:p>
        </w:tc>
        <w:tc>
          <w:tcPr>
            <w:tcW w:type="dxa" w:w="7726"/>
            <w:vAlign w:val="top"/>
          </w:tcPr>
          <w:p>
            <w:pPr>
              <w:spacing w:after="0"/>
            </w:pPr>
            <w:r>
              <w:rPr>
                <w:sz w:val="12"/>
              </w:rPr>
              <w:t>Production Room/offline database is encrypted with Keystore-protected key material.</w:t>
            </w:r>
          </w:p>
        </w:tc>
      </w:tr>
      <w:tr>
        <w:trPr>
          <w:cantSplit/>
        </w:trPr>
        <w:tc>
          <w:tcPr>
            <w:tcW w:type="dxa" w:w="7726"/>
            <w:vAlign w:val="top"/>
          </w:tcPr>
          <w:p>
            <w:pPr>
              <w:spacing w:after="0"/>
            </w:pPr>
            <w:r>
              <w:rPr>
                <w:sz w:val="12"/>
              </w:rPr>
              <w:t>SEC-AC08</w:t>
            </w:r>
          </w:p>
        </w:tc>
        <w:tc>
          <w:tcPr>
            <w:tcW w:type="dxa" w:w="7726"/>
            <w:vAlign w:val="top"/>
          </w:tcPr>
          <w:p>
            <w:pPr>
              <w:spacing w:after="0"/>
            </w:pPr>
            <w:r>
              <w:rPr>
                <w:sz w:val="12"/>
              </w:rPr>
              <w:t>Local PHOTO Evidence is application-level encrypted in Production.</w:t>
            </w:r>
          </w:p>
        </w:tc>
      </w:tr>
      <w:tr>
        <w:trPr>
          <w:cantSplit/>
        </w:trPr>
        <w:tc>
          <w:tcPr>
            <w:tcW w:type="dxa" w:w="7726"/>
            <w:vAlign w:val="top"/>
          </w:tcPr>
          <w:p>
            <w:pPr>
              <w:spacing w:after="0"/>
            </w:pPr>
            <w:r>
              <w:rPr>
                <w:sz w:val="12"/>
              </w:rPr>
              <w:t>SEC-AC09</w:t>
            </w:r>
          </w:p>
        </w:tc>
        <w:tc>
          <w:tcPr>
            <w:tcW w:type="dxa" w:w="7726"/>
            <w:vAlign w:val="top"/>
          </w:tcPr>
          <w:p>
            <w:pPr>
              <w:spacing w:after="0"/>
            </w:pPr>
            <w:r>
              <w:rPr>
                <w:sz w:val="12"/>
              </w:rPr>
              <w:t>Remote Evidence/object storage is private, authorized and encrypted at rest.</w:t>
            </w:r>
          </w:p>
        </w:tc>
      </w:tr>
      <w:tr>
        <w:trPr>
          <w:cantSplit/>
        </w:trPr>
        <w:tc>
          <w:tcPr>
            <w:tcW w:type="dxa" w:w="7726"/>
            <w:vAlign w:val="top"/>
          </w:tcPr>
          <w:p>
            <w:pPr>
              <w:spacing w:after="0"/>
            </w:pPr>
            <w:r>
              <w:rPr>
                <w:sz w:val="12"/>
              </w:rPr>
              <w:t>SEC-AC10</w:t>
            </w:r>
          </w:p>
        </w:tc>
        <w:tc>
          <w:tcPr>
            <w:tcW w:type="dxa" w:w="7726"/>
            <w:vAlign w:val="top"/>
          </w:tcPr>
          <w:p>
            <w:pPr>
              <w:spacing w:after="0"/>
            </w:pPr>
            <w:r>
              <w:rPr>
                <w:sz w:val="12"/>
              </w:rPr>
              <w:t>Production PostgreSQL storage/backups are encrypted at rest.</w:t>
            </w:r>
          </w:p>
        </w:tc>
      </w:tr>
      <w:tr>
        <w:trPr>
          <w:cantSplit/>
        </w:trPr>
        <w:tc>
          <w:tcPr>
            <w:tcW w:type="dxa" w:w="7726"/>
            <w:vAlign w:val="top"/>
          </w:tcPr>
          <w:p>
            <w:pPr>
              <w:spacing w:after="0"/>
            </w:pPr>
            <w:r>
              <w:rPr>
                <w:sz w:val="12"/>
              </w:rPr>
              <w:t>SEC-AC11</w:t>
            </w:r>
          </w:p>
        </w:tc>
        <w:tc>
          <w:tcPr>
            <w:tcW w:type="dxa" w:w="7726"/>
            <w:vAlign w:val="top"/>
          </w:tcPr>
          <w:p>
            <w:pPr>
              <w:spacing w:after="0"/>
            </w:pPr>
            <w:r>
              <w:rPr>
                <w:sz w:val="12"/>
              </w:rPr>
              <w:t>Evidence privacy excludes unnecessary EXIF, GPS and persistent hardware identifiers.</w:t>
            </w:r>
          </w:p>
        </w:tc>
      </w:tr>
      <w:tr>
        <w:trPr>
          <w:cantSplit/>
        </w:trPr>
        <w:tc>
          <w:tcPr>
            <w:tcW w:type="dxa" w:w="7726"/>
            <w:vAlign w:val="top"/>
          </w:tcPr>
          <w:p>
            <w:pPr>
              <w:spacing w:after="0"/>
            </w:pPr>
            <w:r>
              <w:rPr>
                <w:sz w:val="12"/>
              </w:rPr>
              <w:t>SEC-AC12</w:t>
            </w:r>
          </w:p>
        </w:tc>
        <w:tc>
          <w:tcPr>
            <w:tcW w:type="dxa" w:w="7726"/>
            <w:vAlign w:val="top"/>
          </w:tcPr>
          <w:p>
            <w:pPr>
              <w:spacing w:after="0"/>
            </w:pPr>
            <w:r>
              <w:rPr>
                <w:sz w:val="12"/>
              </w:rPr>
              <w:t>AuditEvent is append-only and never stores secrets or binaries.</w:t>
            </w:r>
          </w:p>
        </w:tc>
      </w:tr>
      <w:tr>
        <w:trPr>
          <w:cantSplit/>
        </w:trPr>
        <w:tc>
          <w:tcPr>
            <w:tcW w:type="dxa" w:w="7726"/>
            <w:vAlign w:val="top"/>
          </w:tcPr>
          <w:p>
            <w:pPr>
              <w:spacing w:after="0"/>
            </w:pPr>
            <w:r>
              <w:rPr>
                <w:sz w:val="12"/>
              </w:rPr>
              <w:t>SEC-AC13</w:t>
            </w:r>
          </w:p>
        </w:tc>
        <w:tc>
          <w:tcPr>
            <w:tcW w:type="dxa" w:w="7726"/>
            <w:vAlign w:val="top"/>
          </w:tcPr>
          <w:p>
            <w:pPr>
              <w:spacing w:after="0"/>
            </w:pPr>
            <w:r>
              <w:rPr>
                <w:sz w:val="12"/>
              </w:rPr>
              <w:t>Production logging and diagnostics use minimization/redaction.</w:t>
            </w:r>
          </w:p>
        </w:tc>
      </w:tr>
      <w:tr>
        <w:trPr>
          <w:cantSplit/>
        </w:trPr>
        <w:tc>
          <w:tcPr>
            <w:tcW w:type="dxa" w:w="7726"/>
            <w:vAlign w:val="top"/>
          </w:tcPr>
          <w:p>
            <w:pPr>
              <w:spacing w:after="0"/>
            </w:pPr>
            <w:r>
              <w:rPr>
                <w:sz w:val="12"/>
              </w:rPr>
              <w:t>SEC-AC14</w:t>
            </w:r>
          </w:p>
        </w:tc>
        <w:tc>
          <w:tcPr>
            <w:tcW w:type="dxa" w:w="7726"/>
            <w:vAlign w:val="top"/>
          </w:tcPr>
          <w:p>
            <w:pPr>
              <w:spacing w:after="0"/>
            </w:pPr>
            <w:r>
              <w:rPr>
                <w:sz w:val="12"/>
              </w:rPr>
              <w:t>Sign In throttling enforces 5 failed attempts / 15 minutes per normalized account identifier.</w:t>
            </w:r>
          </w:p>
        </w:tc>
      </w:tr>
      <w:tr>
        <w:trPr>
          <w:cantSplit/>
        </w:trPr>
        <w:tc>
          <w:tcPr>
            <w:tcW w:type="dxa" w:w="7726"/>
            <w:vAlign w:val="top"/>
          </w:tcPr>
          <w:p>
            <w:pPr>
              <w:spacing w:after="0"/>
            </w:pPr>
            <w:r>
              <w:rPr>
                <w:sz w:val="12"/>
              </w:rPr>
              <w:t>SEC-AC15</w:t>
            </w:r>
          </w:p>
        </w:tc>
        <w:tc>
          <w:tcPr>
            <w:tcW w:type="dxa" w:w="7726"/>
            <w:vAlign w:val="top"/>
          </w:tcPr>
          <w:p>
            <w:pPr>
              <w:spacing w:after="0"/>
            </w:pPr>
            <w:r>
              <w:rPr>
                <w:sz w:val="12"/>
              </w:rPr>
              <w:t>Forgot Password enforces 3 accepted requests / 60 minutes per normalized account identifier.</w:t>
            </w:r>
          </w:p>
        </w:tc>
      </w:tr>
      <w:tr>
        <w:trPr>
          <w:cantSplit/>
        </w:trPr>
        <w:tc>
          <w:tcPr>
            <w:tcW w:type="dxa" w:w="7726"/>
            <w:vAlign w:val="top"/>
          </w:tcPr>
          <w:p>
            <w:pPr>
              <w:spacing w:after="0"/>
            </w:pPr>
            <w:r>
              <w:rPr>
                <w:sz w:val="12"/>
              </w:rPr>
              <w:t>SEC-AC16</w:t>
            </w:r>
          </w:p>
        </w:tc>
        <w:tc>
          <w:tcPr>
            <w:tcW w:type="dxa" w:w="7726"/>
            <w:vAlign w:val="top"/>
          </w:tcPr>
          <w:p>
            <w:pPr>
              <w:spacing w:after="0"/>
            </w:pPr>
            <w:r>
              <w:rPr>
                <w:sz w:val="12"/>
              </w:rPr>
              <w:t>Reset tokens are single-use with 30-minute validity.</w:t>
            </w:r>
          </w:p>
        </w:tc>
      </w:tr>
      <w:tr>
        <w:trPr>
          <w:cantSplit/>
        </w:trPr>
        <w:tc>
          <w:tcPr>
            <w:tcW w:type="dxa" w:w="7726"/>
            <w:vAlign w:val="top"/>
          </w:tcPr>
          <w:p>
            <w:pPr>
              <w:spacing w:after="0"/>
            </w:pPr>
            <w:r>
              <w:rPr>
                <w:sz w:val="12"/>
              </w:rPr>
              <w:t>SEC-AC17</w:t>
            </w:r>
          </w:p>
        </w:tc>
        <w:tc>
          <w:tcPr>
            <w:tcW w:type="dxa" w:w="7726"/>
            <w:vAlign w:val="top"/>
          </w:tcPr>
          <w:p>
            <w:pPr>
              <w:spacing w:after="0"/>
            </w:pPr>
            <w:r>
              <w:rPr>
                <w:sz w:val="12"/>
              </w:rPr>
              <w:t>There is no permanent auto-lock based only on failed passwords.</w:t>
            </w:r>
          </w:p>
        </w:tc>
      </w:tr>
      <w:tr>
        <w:trPr>
          <w:cantSplit/>
        </w:trPr>
        <w:tc>
          <w:tcPr>
            <w:tcW w:type="dxa" w:w="7726"/>
            <w:vAlign w:val="top"/>
          </w:tcPr>
          <w:p>
            <w:pPr>
              <w:spacing w:after="0"/>
            </w:pPr>
            <w:r>
              <w:rPr>
                <w:sz w:val="12"/>
              </w:rPr>
              <w:t>SEC-AC18</w:t>
            </w:r>
          </w:p>
        </w:tc>
        <w:tc>
          <w:tcPr>
            <w:tcW w:type="dxa" w:w="7726"/>
            <w:vAlign w:val="top"/>
          </w:tcPr>
          <w:p>
            <w:pPr>
              <w:spacing w:after="0"/>
            </w:pPr>
            <w:r>
              <w:rPr>
                <w:sz w:val="12"/>
              </w:rPr>
              <w:t>Offline authorization never becomes permanent authority after known revocation.</w:t>
            </w:r>
          </w:p>
        </w:tc>
      </w:tr>
      <w:tr>
        <w:trPr>
          <w:cantSplit/>
        </w:trPr>
        <w:tc>
          <w:tcPr>
            <w:tcW w:type="dxa" w:w="7726"/>
            <w:vAlign w:val="top"/>
          </w:tcPr>
          <w:p>
            <w:pPr>
              <w:spacing w:after="0"/>
            </w:pPr>
            <w:r>
              <w:rPr>
                <w:sz w:val="12"/>
              </w:rPr>
              <w:t>SEC-AC19</w:t>
            </w:r>
          </w:p>
        </w:tc>
        <w:tc>
          <w:tcPr>
            <w:tcW w:type="dxa" w:w="7726"/>
            <w:vAlign w:val="top"/>
          </w:tcPr>
          <w:p>
            <w:pPr>
              <w:spacing w:after="0"/>
            </w:pPr>
            <w:r>
              <w:rPr>
                <w:sz w:val="12"/>
              </w:rPr>
              <w:t>Security failures fail closed without destroying recoverable unsynced work.</w:t>
            </w:r>
          </w:p>
        </w:tc>
      </w:tr>
      <w:tr>
        <w:trPr>
          <w:cantSplit/>
        </w:trPr>
        <w:tc>
          <w:tcPr>
            <w:tcW w:type="dxa" w:w="7726"/>
            <w:vAlign w:val="top"/>
          </w:tcPr>
          <w:p>
            <w:pPr>
              <w:spacing w:after="0"/>
            </w:pPr>
            <w:r>
              <w:rPr>
                <w:sz w:val="12"/>
              </w:rPr>
              <w:t>SEC-AC20</w:t>
            </w:r>
          </w:p>
        </w:tc>
        <w:tc>
          <w:tcPr>
            <w:tcW w:type="dxa" w:w="7726"/>
            <w:vAlign w:val="top"/>
          </w:tcPr>
          <w:p>
            <w:pPr>
              <w:spacing w:after="0"/>
            </w:pPr>
            <w:r>
              <w:rPr>
                <w:sz w:val="12"/>
              </w:rPr>
              <w:t>Production, Staging and Development secrets are separated.</w:t>
            </w:r>
          </w:p>
        </w:tc>
      </w:tr>
      <w:tr>
        <w:trPr>
          <w:cantSplit/>
        </w:trPr>
        <w:tc>
          <w:tcPr>
            <w:tcW w:type="dxa" w:w="7726"/>
            <w:vAlign w:val="top"/>
          </w:tcPr>
          <w:p>
            <w:pPr>
              <w:spacing w:after="0"/>
            </w:pPr>
            <w:r>
              <w:rPr>
                <w:sz w:val="12"/>
              </w:rPr>
              <w:t>SEC-AC21</w:t>
            </w:r>
          </w:p>
        </w:tc>
        <w:tc>
          <w:tcPr>
            <w:tcW w:type="dxa" w:w="7726"/>
            <w:vAlign w:val="top"/>
          </w:tcPr>
          <w:p>
            <w:pPr>
              <w:spacing w:after="0"/>
            </w:pPr>
            <w:r>
              <w:rPr>
                <w:sz w:val="12"/>
              </w:rPr>
              <w:t>Production artifact contains no debug trust overrides or sensitive verbose logging.</w:t>
            </w:r>
          </w:p>
        </w:tc>
      </w:tr>
      <w:tr>
        <w:trPr>
          <w:cantSplit/>
        </w:trPr>
        <w:tc>
          <w:tcPr>
            <w:tcW w:type="dxa" w:w="7726"/>
            <w:vAlign w:val="top"/>
          </w:tcPr>
          <w:p>
            <w:pPr>
              <w:spacing w:after="0"/>
            </w:pPr>
            <w:r>
              <w:rPr>
                <w:sz w:val="12"/>
              </w:rPr>
              <w:t>SEC-AC22</w:t>
            </w:r>
          </w:p>
        </w:tc>
        <w:tc>
          <w:tcPr>
            <w:tcW w:type="dxa" w:w="7726"/>
            <w:vAlign w:val="top"/>
          </w:tcPr>
          <w:p>
            <w:pPr>
              <w:spacing w:after="0"/>
            </w:pPr>
            <w:r>
              <w:rPr>
                <w:sz w:val="12"/>
              </w:rPr>
              <w:t>Backups exclude Android auth/key/offline protected stores and server backups are encrypted.</w:t>
            </w:r>
          </w:p>
        </w:tc>
      </w:tr>
      <w:tr>
        <w:trPr>
          <w:cantSplit/>
        </w:trPr>
        <w:tc>
          <w:tcPr>
            <w:tcW w:type="dxa" w:w="7726"/>
            <w:vAlign w:val="top"/>
          </w:tcPr>
          <w:p>
            <w:pPr>
              <w:spacing w:after="0"/>
            </w:pPr>
            <w:r>
              <w:rPr>
                <w:sz w:val="12"/>
              </w:rPr>
              <w:t>SEC-AC23</w:t>
            </w:r>
          </w:p>
        </w:tc>
        <w:tc>
          <w:tcPr>
            <w:tcW w:type="dxa" w:w="7726"/>
            <w:vAlign w:val="top"/>
          </w:tcPr>
          <w:p>
            <w:pPr>
              <w:spacing w:after="0"/>
            </w:pPr>
            <w:r>
              <w:rPr>
                <w:sz w:val="12"/>
              </w:rPr>
              <w:t>Historical actor attribution survives user disablement/privacy lifecycle operations.</w:t>
            </w:r>
          </w:p>
        </w:tc>
      </w:tr>
      <w:tr>
        <w:trPr>
          <w:cantSplit/>
        </w:trPr>
        <w:tc>
          <w:tcPr>
            <w:tcW w:type="dxa" w:w="7726"/>
            <w:vAlign w:val="top"/>
          </w:tcPr>
          <w:p>
            <w:pPr>
              <w:spacing w:after="0"/>
            </w:pPr>
            <w:r>
              <w:rPr>
                <w:sz w:val="12"/>
              </w:rPr>
              <w:t>SEC-AC24</w:t>
            </w:r>
          </w:p>
        </w:tc>
        <w:tc>
          <w:tcPr>
            <w:tcW w:type="dxa" w:w="7726"/>
            <w:vAlign w:val="top"/>
          </w:tcPr>
          <w:p>
            <w:pPr>
              <w:spacing w:after="0"/>
            </w:pPr>
            <w:r>
              <w:rPr>
                <w:sz w:val="12"/>
              </w:rPr>
              <w:t>No MFA/certificate pinning/root-attestation requirement is silently introduced into V6.</w:t>
            </w:r>
          </w:p>
        </w:tc>
      </w:tr>
      <w:tr>
        <w:trPr>
          <w:cantSplit/>
        </w:trPr>
        <w:tc>
          <w:tcPr>
            <w:tcW w:type="dxa" w:w="7726"/>
            <w:vAlign w:val="top"/>
          </w:tcPr>
          <w:p>
            <w:pPr>
              <w:spacing w:after="0"/>
            </w:pPr>
            <w:r>
              <w:rPr>
                <w:sz w:val="12"/>
              </w:rPr>
              <w:t>SEC-AC25</w:t>
            </w:r>
          </w:p>
        </w:tc>
        <w:tc>
          <w:tcPr>
            <w:tcW w:type="dxa" w:w="7726"/>
            <w:vAlign w:val="top"/>
          </w:tcPr>
          <w:p>
            <w:pPr>
              <w:spacing w:after="0"/>
            </w:pPr>
            <w:r>
              <w:rPr>
                <w:sz w:val="12"/>
              </w:rPr>
              <w:t>Doc17 introduces no destructive privacy rule that contradicts frozen retention/history contracts.</w:t>
            </w:r>
          </w:p>
        </w:tc>
      </w:tr>
    </w:tbl>
    <w:p>
      <w:pPr>
        <w:spacing w:after="20"/>
      </w:pPr>
    </w:p>
    <w:p>
      <w:pPr>
        <w:pStyle w:val="Heading1"/>
      </w:pPr>
      <w:r>
        <w:t>25. Approved SEC-D01-SEC-D144 decision register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1"/>
        <w:gridCol w:w="5151"/>
        <w:gridCol w:w="5151"/>
      </w:tblGrid>
      <w:tr>
        <w:trPr>
          <w:tblHeader w:val="true"/>
          <w:cantSplit/>
        </w:trPr>
        <w:tc>
          <w:tcPr>
            <w:tcW w:type="dxa" w:w="5151"/>
            <w:shd w:fill="D9EAF7"/>
          </w:tcPr>
          <w:p>
            <w:r>
              <w:rPr>
                <w:b/>
                <w:sz w:val="13"/>
              </w:rPr>
              <w:t>ID</w:t>
            </w:r>
          </w:p>
        </w:tc>
        <w:tc>
          <w:tcPr>
            <w:tcW w:type="dxa" w:w="5151"/>
            <w:shd w:fill="D9EAF7"/>
          </w:tcPr>
          <w:p>
            <w:r>
              <w:rPr>
                <w:b/>
                <w:sz w:val="13"/>
              </w:rPr>
              <w:t>Area</w:t>
            </w:r>
          </w:p>
        </w:tc>
        <w:tc>
          <w:tcPr>
            <w:tcW w:type="dxa" w:w="5151"/>
            <w:shd w:fill="D9EAF7"/>
          </w:tcPr>
          <w:p>
            <w:r>
              <w:rPr>
                <w:b/>
                <w:sz w:val="13"/>
              </w:rPr>
              <w:t>Frozen V6 outcome</w:t>
            </w:r>
          </w:p>
        </w:tc>
      </w:tr>
      <w:tr>
        <w:trPr>
          <w:cantSplit/>
        </w:trPr>
        <w:tc>
          <w:tcPr>
            <w:tcW w:type="dxa" w:w="5151"/>
            <w:vAlign w:val="top"/>
          </w:tcPr>
          <w:p>
            <w:pPr>
              <w:spacing w:after="0"/>
            </w:pPr>
            <w:r>
              <w:rPr>
                <w:sz w:val="11"/>
              </w:rPr>
              <w:t>SEC-D001</w:t>
            </w:r>
          </w:p>
        </w:tc>
        <w:tc>
          <w:tcPr>
            <w:tcW w:type="dxa" w:w="5151"/>
            <w:vAlign w:val="top"/>
          </w:tcPr>
          <w:p>
            <w:pPr>
              <w:spacing w:after="0"/>
            </w:pPr>
            <w:r>
              <w:rPr>
                <w:sz w:val="11"/>
              </w:rPr>
              <w:t>Security model and trust boundaries</w:t>
            </w:r>
          </w:p>
        </w:tc>
        <w:tc>
          <w:tcPr>
            <w:tcW w:type="dxa" w:w="5151"/>
            <w:vAlign w:val="top"/>
          </w:tcPr>
          <w:p>
            <w:pPr>
              <w:spacing w:after="0"/>
            </w:pPr>
            <w:r>
              <w:rPr>
                <w:sz w:val="11"/>
              </w:rPr>
              <w:t>Defense in depth, least privilege and deny-by-default are the V6 security model.</w:t>
            </w:r>
          </w:p>
        </w:tc>
      </w:tr>
      <w:tr>
        <w:trPr>
          <w:cantSplit/>
        </w:trPr>
        <w:tc>
          <w:tcPr>
            <w:tcW w:type="dxa" w:w="5151"/>
            <w:vAlign w:val="top"/>
          </w:tcPr>
          <w:p>
            <w:pPr>
              <w:spacing w:after="0"/>
            </w:pPr>
            <w:r>
              <w:rPr>
                <w:sz w:val="11"/>
              </w:rPr>
              <w:t>SEC-D002</w:t>
            </w:r>
          </w:p>
        </w:tc>
        <w:tc>
          <w:tcPr>
            <w:tcW w:type="dxa" w:w="5151"/>
            <w:vAlign w:val="top"/>
          </w:tcPr>
          <w:p>
            <w:pPr>
              <w:spacing w:after="0"/>
            </w:pPr>
            <w:r>
              <w:rPr>
                <w:sz w:val="11"/>
              </w:rPr>
              <w:t>Security model and trust boundaries</w:t>
            </w:r>
          </w:p>
        </w:tc>
        <w:tc>
          <w:tcPr>
            <w:tcW w:type="dxa" w:w="5151"/>
            <w:vAlign w:val="top"/>
          </w:tcPr>
          <w:p>
            <w:pPr>
              <w:spacing w:after="0"/>
            </w:pPr>
            <w:r>
              <w:rPr>
                <w:sz w:val="11"/>
              </w:rPr>
              <w:t>Canonical trust boundaries are Android app&lt;-&gt;Backend API, Backend&lt;-&gt;PostgreSQL, Backend&lt;-&gt;private object storage, and Android app&lt;-&gt;Android secure/app-private storage.</w:t>
            </w:r>
          </w:p>
        </w:tc>
      </w:tr>
      <w:tr>
        <w:trPr>
          <w:cantSplit/>
        </w:trPr>
        <w:tc>
          <w:tcPr>
            <w:tcW w:type="dxa" w:w="5151"/>
            <w:vAlign w:val="top"/>
          </w:tcPr>
          <w:p>
            <w:pPr>
              <w:spacing w:after="0"/>
            </w:pPr>
            <w:r>
              <w:rPr>
                <w:sz w:val="11"/>
              </w:rPr>
              <w:t>SEC-D003</w:t>
            </w:r>
          </w:p>
        </w:tc>
        <w:tc>
          <w:tcPr>
            <w:tcW w:type="dxa" w:w="5151"/>
            <w:vAlign w:val="top"/>
          </w:tcPr>
          <w:p>
            <w:pPr>
              <w:spacing w:after="0"/>
            </w:pPr>
            <w:r>
              <w:rPr>
                <w:sz w:val="11"/>
              </w:rPr>
              <w:t>Security model and trust boundaries</w:t>
            </w:r>
          </w:p>
        </w:tc>
        <w:tc>
          <w:tcPr>
            <w:tcW w:type="dxa" w:w="5151"/>
            <w:vAlign w:val="top"/>
          </w:tcPr>
          <w:p>
            <w:pPr>
              <w:spacing w:after="0"/>
            </w:pPr>
            <w:r>
              <w:rPr>
                <w:sz w:val="11"/>
              </w:rPr>
              <w:t>The Android client is untrusted for authoritative enforcement; every protected server operation is re-authorized server-side.</w:t>
            </w:r>
          </w:p>
        </w:tc>
      </w:tr>
      <w:tr>
        <w:trPr>
          <w:cantSplit/>
        </w:trPr>
        <w:tc>
          <w:tcPr>
            <w:tcW w:type="dxa" w:w="5151"/>
            <w:vAlign w:val="top"/>
          </w:tcPr>
          <w:p>
            <w:pPr>
              <w:spacing w:after="0"/>
            </w:pPr>
            <w:r>
              <w:rPr>
                <w:sz w:val="11"/>
              </w:rPr>
              <w:t>SEC-D004</w:t>
            </w:r>
          </w:p>
        </w:tc>
        <w:tc>
          <w:tcPr>
            <w:tcW w:type="dxa" w:w="5151"/>
            <w:vAlign w:val="top"/>
          </w:tcPr>
          <w:p>
            <w:pPr>
              <w:spacing w:after="0"/>
            </w:pPr>
            <w:r>
              <w:rPr>
                <w:sz w:val="11"/>
              </w:rPr>
              <w:t>Security model and trust boundaries</w:t>
            </w:r>
          </w:p>
        </w:tc>
        <w:tc>
          <w:tcPr>
            <w:tcW w:type="dxa" w:w="5151"/>
            <w:vAlign w:val="top"/>
          </w:tcPr>
          <w:p>
            <w:pPr>
              <w:spacing w:after="0"/>
            </w:pPr>
            <w:r>
              <w:rPr>
                <w:sz w:val="11"/>
              </w:rPr>
              <w:t>Organization isolation is mandatory for all tenant-owned resources; possession of an identifier from another Organization grants no access.</w:t>
            </w:r>
          </w:p>
        </w:tc>
      </w:tr>
      <w:tr>
        <w:trPr>
          <w:cantSplit/>
        </w:trPr>
        <w:tc>
          <w:tcPr>
            <w:tcW w:type="dxa" w:w="5151"/>
            <w:vAlign w:val="top"/>
          </w:tcPr>
          <w:p>
            <w:pPr>
              <w:spacing w:after="0"/>
            </w:pPr>
            <w:r>
              <w:rPr>
                <w:sz w:val="11"/>
              </w:rPr>
              <w:t>SEC-D005</w:t>
            </w:r>
          </w:p>
        </w:tc>
        <w:tc>
          <w:tcPr>
            <w:tcW w:type="dxa" w:w="5151"/>
            <w:vAlign w:val="top"/>
          </w:tcPr>
          <w:p>
            <w:pPr>
              <w:spacing w:after="0"/>
            </w:pPr>
            <w:r>
              <w:rPr>
                <w:sz w:val="11"/>
              </w:rPr>
              <w:t>Security model and trust boundaries</w:t>
            </w:r>
          </w:p>
        </w:tc>
        <w:tc>
          <w:tcPr>
            <w:tcW w:type="dxa" w:w="5151"/>
            <w:vAlign w:val="top"/>
          </w:tcPr>
          <w:p>
            <w:pPr>
              <w:spacing w:after="0"/>
            </w:pPr>
            <w:r>
              <w:rPr>
                <w:sz w:val="11"/>
              </w:rPr>
              <w:t>Effective authorization is authenticated identity  AND  Active User  AND  active OrganizationMembership  AND  role  AND  authorized scope  AND  Campaign/Team rules  AND  workflow/entity state.</w:t>
            </w:r>
          </w:p>
        </w:tc>
      </w:tr>
      <w:tr>
        <w:trPr>
          <w:cantSplit/>
        </w:trPr>
        <w:tc>
          <w:tcPr>
            <w:tcW w:type="dxa" w:w="5151"/>
            <w:vAlign w:val="top"/>
          </w:tcPr>
          <w:p>
            <w:pPr>
              <w:spacing w:after="0"/>
            </w:pPr>
            <w:r>
              <w:rPr>
                <w:sz w:val="11"/>
              </w:rPr>
              <w:t>SEC-D006</w:t>
            </w:r>
          </w:p>
        </w:tc>
        <w:tc>
          <w:tcPr>
            <w:tcW w:type="dxa" w:w="5151"/>
            <w:vAlign w:val="top"/>
          </w:tcPr>
          <w:p>
            <w:pPr>
              <w:spacing w:after="0"/>
            </w:pPr>
            <w:r>
              <w:rPr>
                <w:sz w:val="11"/>
              </w:rPr>
              <w:t>Security model and trust boundaries</w:t>
            </w:r>
          </w:p>
        </w:tc>
        <w:tc>
          <w:tcPr>
            <w:tcW w:type="dxa" w:w="5151"/>
            <w:vAlign w:val="top"/>
          </w:tcPr>
          <w:p>
            <w:pPr>
              <w:spacing w:after="0"/>
            </w:pPr>
            <w:r>
              <w:rPr>
                <w:sz w:val="11"/>
              </w:rPr>
              <w:t>UI hiding/disabled controls are UX controls, not security boundaries.</w:t>
            </w:r>
          </w:p>
        </w:tc>
      </w:tr>
      <w:tr>
        <w:trPr>
          <w:cantSplit/>
        </w:trPr>
        <w:tc>
          <w:tcPr>
            <w:tcW w:type="dxa" w:w="5151"/>
            <w:vAlign w:val="top"/>
          </w:tcPr>
          <w:p>
            <w:pPr>
              <w:spacing w:after="0"/>
            </w:pPr>
            <w:r>
              <w:rPr>
                <w:sz w:val="11"/>
              </w:rPr>
              <w:t>SEC-D007</w:t>
            </w:r>
          </w:p>
        </w:tc>
        <w:tc>
          <w:tcPr>
            <w:tcW w:type="dxa" w:w="5151"/>
            <w:vAlign w:val="top"/>
          </w:tcPr>
          <w:p>
            <w:pPr>
              <w:spacing w:after="0"/>
            </w:pPr>
            <w:r>
              <w:rPr>
                <w:sz w:val="11"/>
              </w:rPr>
              <w:t>Security model and trust boundaries</w:t>
            </w:r>
          </w:p>
        </w:tc>
        <w:tc>
          <w:tcPr>
            <w:tcW w:type="dxa" w:w="5151"/>
            <w:vAlign w:val="top"/>
          </w:tcPr>
          <w:p>
            <w:pPr>
              <w:spacing w:after="0"/>
            </w:pPr>
            <w:r>
              <w:rPr>
                <w:sz w:val="11"/>
              </w:rPr>
              <w:t>UUIDs, Campaign codes, object-storage references and local references are not credentials.</w:t>
            </w:r>
          </w:p>
        </w:tc>
      </w:tr>
      <w:tr>
        <w:trPr>
          <w:cantSplit/>
        </w:trPr>
        <w:tc>
          <w:tcPr>
            <w:tcW w:type="dxa" w:w="5151"/>
            <w:vAlign w:val="top"/>
          </w:tcPr>
          <w:p>
            <w:pPr>
              <w:spacing w:after="0"/>
            </w:pPr>
            <w:r>
              <w:rPr>
                <w:sz w:val="11"/>
              </w:rPr>
              <w:t>SEC-D008</w:t>
            </w:r>
          </w:p>
        </w:tc>
        <w:tc>
          <w:tcPr>
            <w:tcW w:type="dxa" w:w="5151"/>
            <w:vAlign w:val="top"/>
          </w:tcPr>
          <w:p>
            <w:pPr>
              <w:spacing w:after="0"/>
            </w:pPr>
            <w:r>
              <w:rPr>
                <w:sz w:val="11"/>
              </w:rPr>
              <w:t>Security model and trust boundaries</w:t>
            </w:r>
          </w:p>
        </w:tc>
        <w:tc>
          <w:tcPr>
            <w:tcW w:type="dxa" w:w="5151"/>
            <w:vAlign w:val="top"/>
          </w:tcPr>
          <w:p>
            <w:pPr>
              <w:spacing w:after="0"/>
            </w:pPr>
            <w:r>
              <w:rPr>
                <w:sz w:val="11"/>
              </w:rPr>
              <w:t>Unauthorized cross-tenant requests must not disclose protected resource data.</w:t>
            </w:r>
          </w:p>
        </w:tc>
      </w:tr>
      <w:tr>
        <w:trPr>
          <w:cantSplit/>
        </w:trPr>
        <w:tc>
          <w:tcPr>
            <w:tcW w:type="dxa" w:w="5151"/>
            <w:vAlign w:val="top"/>
          </w:tcPr>
          <w:p>
            <w:pPr>
              <w:spacing w:after="0"/>
            </w:pPr>
            <w:r>
              <w:rPr>
                <w:sz w:val="11"/>
              </w:rPr>
              <w:t>SEC-D009</w:t>
            </w:r>
          </w:p>
        </w:tc>
        <w:tc>
          <w:tcPr>
            <w:tcW w:type="dxa" w:w="5151"/>
            <w:vAlign w:val="top"/>
          </w:tcPr>
          <w:p>
            <w:pPr>
              <w:spacing w:after="0"/>
            </w:pPr>
            <w:r>
              <w:rPr>
                <w:sz w:val="11"/>
              </w:rPr>
              <w:t>Authentication</w:t>
            </w:r>
          </w:p>
        </w:tc>
        <w:tc>
          <w:tcPr>
            <w:tcW w:type="dxa" w:w="5151"/>
            <w:vAlign w:val="top"/>
          </w:tcPr>
          <w:p>
            <w:pPr>
              <w:spacing w:after="0"/>
            </w:pPr>
            <w:r>
              <w:rPr>
                <w:sz w:val="11"/>
              </w:rPr>
              <w:t>V6 authentication is Email + Password through the backend/configured authentication service.</w:t>
            </w:r>
          </w:p>
        </w:tc>
      </w:tr>
      <w:tr>
        <w:trPr>
          <w:cantSplit/>
        </w:trPr>
        <w:tc>
          <w:tcPr>
            <w:tcW w:type="dxa" w:w="5151"/>
            <w:vAlign w:val="top"/>
          </w:tcPr>
          <w:p>
            <w:pPr>
              <w:spacing w:after="0"/>
            </w:pPr>
            <w:r>
              <w:rPr>
                <w:sz w:val="11"/>
              </w:rPr>
              <w:t>SEC-D010</w:t>
            </w:r>
          </w:p>
        </w:tc>
        <w:tc>
          <w:tcPr>
            <w:tcW w:type="dxa" w:w="5151"/>
            <w:vAlign w:val="top"/>
          </w:tcPr>
          <w:p>
            <w:pPr>
              <w:spacing w:after="0"/>
            </w:pPr>
            <w:r>
              <w:rPr>
                <w:sz w:val="11"/>
              </w:rPr>
              <w:t>Authentication</w:t>
            </w:r>
          </w:p>
        </w:tc>
        <w:tc>
          <w:tcPr>
            <w:tcW w:type="dxa" w:w="5151"/>
            <w:vAlign w:val="top"/>
          </w:tcPr>
          <w:p>
            <w:pPr>
              <w:spacing w:after="0"/>
            </w:pPr>
            <w:r>
              <w:rPr>
                <w:sz w:val="11"/>
              </w:rPr>
              <w:t>V6 has no Remember Me, public Sign Up, Google SSO or Microsoft SSO.</w:t>
            </w:r>
          </w:p>
        </w:tc>
      </w:tr>
      <w:tr>
        <w:trPr>
          <w:cantSplit/>
        </w:trPr>
        <w:tc>
          <w:tcPr>
            <w:tcW w:type="dxa" w:w="5151"/>
            <w:vAlign w:val="top"/>
          </w:tcPr>
          <w:p>
            <w:pPr>
              <w:spacing w:after="0"/>
            </w:pPr>
            <w:r>
              <w:rPr>
                <w:sz w:val="11"/>
              </w:rPr>
              <w:t>SEC-D011</w:t>
            </w:r>
          </w:p>
        </w:tc>
        <w:tc>
          <w:tcPr>
            <w:tcW w:type="dxa" w:w="5151"/>
            <w:vAlign w:val="top"/>
          </w:tcPr>
          <w:p>
            <w:pPr>
              <w:spacing w:after="0"/>
            </w:pPr>
            <w:r>
              <w:rPr>
                <w:sz w:val="11"/>
              </w:rPr>
              <w:t>Authentication</w:t>
            </w:r>
          </w:p>
        </w:tc>
        <w:tc>
          <w:tcPr>
            <w:tcW w:type="dxa" w:w="5151"/>
            <w:vAlign w:val="top"/>
          </w:tcPr>
          <w:p>
            <w:pPr>
              <w:spacing w:after="0"/>
            </w:pPr>
            <w:r>
              <w:rPr>
                <w:sz w:val="11"/>
              </w:rPr>
              <w:t>Android never persists the password in Room, DataStore, logs, analytics, AuditEvent or diagnostics.</w:t>
            </w:r>
          </w:p>
        </w:tc>
      </w:tr>
      <w:tr>
        <w:trPr>
          <w:cantSplit/>
        </w:trPr>
        <w:tc>
          <w:tcPr>
            <w:tcW w:type="dxa" w:w="5151"/>
            <w:vAlign w:val="top"/>
          </w:tcPr>
          <w:p>
            <w:pPr>
              <w:spacing w:after="0"/>
            </w:pPr>
            <w:r>
              <w:rPr>
                <w:sz w:val="11"/>
              </w:rPr>
              <w:t>SEC-D012</w:t>
            </w:r>
          </w:p>
        </w:tc>
        <w:tc>
          <w:tcPr>
            <w:tcW w:type="dxa" w:w="5151"/>
            <w:vAlign w:val="top"/>
          </w:tcPr>
          <w:p>
            <w:pPr>
              <w:spacing w:after="0"/>
            </w:pPr>
            <w:r>
              <w:rPr>
                <w:sz w:val="11"/>
              </w:rPr>
              <w:t>Authentication</w:t>
            </w:r>
          </w:p>
        </w:tc>
        <w:tc>
          <w:tcPr>
            <w:tcW w:type="dxa" w:w="5151"/>
            <w:vAlign w:val="top"/>
          </w:tcPr>
          <w:p>
            <w:pPr>
              <w:spacing w:after="0"/>
            </w:pPr>
            <w:r>
              <w:rPr>
                <w:sz w:val="11"/>
              </w:rPr>
              <w:t>Invalid Sign In uses a generic response that does not confirm account existence.</w:t>
            </w:r>
          </w:p>
        </w:tc>
      </w:tr>
      <w:tr>
        <w:trPr>
          <w:cantSplit/>
        </w:trPr>
        <w:tc>
          <w:tcPr>
            <w:tcW w:type="dxa" w:w="5151"/>
            <w:vAlign w:val="top"/>
          </w:tcPr>
          <w:p>
            <w:pPr>
              <w:spacing w:after="0"/>
            </w:pPr>
            <w:r>
              <w:rPr>
                <w:sz w:val="11"/>
              </w:rPr>
              <w:t>SEC-D013</w:t>
            </w:r>
          </w:p>
        </w:tc>
        <w:tc>
          <w:tcPr>
            <w:tcW w:type="dxa" w:w="5151"/>
            <w:vAlign w:val="top"/>
          </w:tcPr>
          <w:p>
            <w:pPr>
              <w:spacing w:after="0"/>
            </w:pPr>
            <w:r>
              <w:rPr>
                <w:sz w:val="11"/>
              </w:rPr>
              <w:t>Authentication</w:t>
            </w:r>
          </w:p>
        </w:tc>
        <w:tc>
          <w:tcPr>
            <w:tcW w:type="dxa" w:w="5151"/>
            <w:vAlign w:val="top"/>
          </w:tcPr>
          <w:p>
            <w:pPr>
              <w:spacing w:after="0"/>
            </w:pPr>
            <w:r>
              <w:rPr>
                <w:sz w:val="11"/>
              </w:rPr>
              <w:t>Forgot Password uses a generic confirmation to reduce account enumeration.</w:t>
            </w:r>
          </w:p>
        </w:tc>
      </w:tr>
      <w:tr>
        <w:trPr>
          <w:cantSplit/>
        </w:trPr>
        <w:tc>
          <w:tcPr>
            <w:tcW w:type="dxa" w:w="5151"/>
            <w:vAlign w:val="top"/>
          </w:tcPr>
          <w:p>
            <w:pPr>
              <w:spacing w:after="0"/>
            </w:pPr>
            <w:r>
              <w:rPr>
                <w:sz w:val="11"/>
              </w:rPr>
              <w:t>SEC-D014</w:t>
            </w:r>
          </w:p>
        </w:tc>
        <w:tc>
          <w:tcPr>
            <w:tcW w:type="dxa" w:w="5151"/>
            <w:vAlign w:val="top"/>
          </w:tcPr>
          <w:p>
            <w:pPr>
              <w:spacing w:after="0"/>
            </w:pPr>
            <w:r>
              <w:rPr>
                <w:sz w:val="11"/>
              </w:rPr>
              <w:t>Authentication</w:t>
            </w:r>
          </w:p>
        </w:tc>
        <w:tc>
          <w:tcPr>
            <w:tcW w:type="dxa" w:w="5151"/>
            <w:vAlign w:val="top"/>
          </w:tcPr>
          <w:p>
            <w:pPr>
              <w:spacing w:after="0"/>
            </w:pPr>
            <w:r>
              <w:rPr>
                <w:sz w:val="11"/>
              </w:rPr>
              <w:t>Password reset is online-only and requires valid recovery context/token.</w:t>
            </w:r>
          </w:p>
        </w:tc>
      </w:tr>
      <w:tr>
        <w:trPr>
          <w:cantSplit/>
        </w:trPr>
        <w:tc>
          <w:tcPr>
            <w:tcW w:type="dxa" w:w="5151"/>
            <w:vAlign w:val="top"/>
          </w:tcPr>
          <w:p>
            <w:pPr>
              <w:spacing w:after="0"/>
            </w:pPr>
            <w:r>
              <w:rPr>
                <w:sz w:val="11"/>
              </w:rPr>
              <w:t>SEC-D015</w:t>
            </w:r>
          </w:p>
        </w:tc>
        <w:tc>
          <w:tcPr>
            <w:tcW w:type="dxa" w:w="5151"/>
            <w:vAlign w:val="top"/>
          </w:tcPr>
          <w:p>
            <w:pPr>
              <w:spacing w:after="0"/>
            </w:pPr>
            <w:r>
              <w:rPr>
                <w:sz w:val="11"/>
              </w:rPr>
              <w:t>Authentication</w:t>
            </w:r>
          </w:p>
        </w:tc>
        <w:tc>
          <w:tcPr>
            <w:tcW w:type="dxa" w:w="5151"/>
            <w:vAlign w:val="top"/>
          </w:tcPr>
          <w:p>
            <w:pPr>
              <w:spacing w:after="0"/>
            </w:pPr>
            <w:r>
              <w:rPr>
                <w:sz w:val="11"/>
              </w:rPr>
              <w:t>Successful password reset invalidates all active refresh/session credentials for that User.</w:t>
            </w:r>
          </w:p>
        </w:tc>
      </w:tr>
      <w:tr>
        <w:trPr>
          <w:cantSplit/>
        </w:trPr>
        <w:tc>
          <w:tcPr>
            <w:tcW w:type="dxa" w:w="5151"/>
            <w:vAlign w:val="top"/>
          </w:tcPr>
          <w:p>
            <w:pPr>
              <w:spacing w:after="0"/>
            </w:pPr>
            <w:r>
              <w:rPr>
                <w:sz w:val="11"/>
              </w:rPr>
              <w:t>SEC-D016</w:t>
            </w:r>
          </w:p>
        </w:tc>
        <w:tc>
          <w:tcPr>
            <w:tcW w:type="dxa" w:w="5151"/>
            <w:vAlign w:val="top"/>
          </w:tcPr>
          <w:p>
            <w:pPr>
              <w:spacing w:after="0"/>
            </w:pPr>
            <w:r>
              <w:rPr>
                <w:sz w:val="11"/>
              </w:rPr>
              <w:t>Authentication</w:t>
            </w:r>
          </w:p>
        </w:tc>
        <w:tc>
          <w:tcPr>
            <w:tcW w:type="dxa" w:w="5151"/>
            <w:vAlign w:val="top"/>
          </w:tcPr>
          <w:p>
            <w:pPr>
              <w:spacing w:after="0"/>
            </w:pPr>
            <w:r>
              <w:rPr>
                <w:sz w:val="11"/>
              </w:rPr>
              <w:t>A Disabled User cannot initiate a new authentication.</w:t>
            </w:r>
          </w:p>
        </w:tc>
      </w:tr>
      <w:tr>
        <w:trPr>
          <w:cantSplit/>
        </w:trPr>
        <w:tc>
          <w:tcPr>
            <w:tcW w:type="dxa" w:w="5151"/>
            <w:vAlign w:val="top"/>
          </w:tcPr>
          <w:p>
            <w:pPr>
              <w:spacing w:after="0"/>
            </w:pPr>
            <w:r>
              <w:rPr>
                <w:sz w:val="11"/>
              </w:rPr>
              <w:t>SEC-D017</w:t>
            </w:r>
          </w:p>
        </w:tc>
        <w:tc>
          <w:tcPr>
            <w:tcW w:type="dxa" w:w="5151"/>
            <w:vAlign w:val="top"/>
          </w:tcPr>
          <w:p>
            <w:pPr>
              <w:spacing w:after="0"/>
            </w:pPr>
            <w:r>
              <w:rPr>
                <w:sz w:val="11"/>
              </w:rPr>
              <w:t>Authentication</w:t>
            </w:r>
          </w:p>
        </w:tc>
        <w:tc>
          <w:tcPr>
            <w:tcW w:type="dxa" w:w="5151"/>
            <w:vAlign w:val="top"/>
          </w:tcPr>
          <w:p>
            <w:pPr>
              <w:spacing w:after="0"/>
            </w:pPr>
            <w:r>
              <w:rPr>
                <w:sz w:val="11"/>
              </w:rPr>
              <w:t>MFA is not a V6 requirement; adding it requires an explicit contract change.</w:t>
            </w:r>
          </w:p>
        </w:tc>
      </w:tr>
      <w:tr>
        <w:trPr>
          <w:cantSplit/>
        </w:trPr>
        <w:tc>
          <w:tcPr>
            <w:tcW w:type="dxa" w:w="5151"/>
            <w:vAlign w:val="top"/>
          </w:tcPr>
          <w:p>
            <w:pPr>
              <w:spacing w:after="0"/>
            </w:pPr>
            <w:r>
              <w:rPr>
                <w:sz w:val="11"/>
              </w:rPr>
              <w:t>SEC-D018</w:t>
            </w:r>
          </w:p>
        </w:tc>
        <w:tc>
          <w:tcPr>
            <w:tcW w:type="dxa" w:w="5151"/>
            <w:vAlign w:val="top"/>
          </w:tcPr>
          <w:p>
            <w:pPr>
              <w:spacing w:after="0"/>
            </w:pPr>
            <w:r>
              <w:rPr>
                <w:sz w:val="11"/>
              </w:rPr>
              <w:t>Authentication</w:t>
            </w:r>
          </w:p>
        </w:tc>
        <w:tc>
          <w:tcPr>
            <w:tcW w:type="dxa" w:w="5151"/>
            <w:vAlign w:val="top"/>
          </w:tcPr>
          <w:p>
            <w:pPr>
              <w:spacing w:after="0"/>
            </w:pPr>
            <w:r>
              <w:rPr>
                <w:sz w:val="11"/>
              </w:rPr>
              <w:t>V6 does not mandate a particular backend password-hash implementation, but plaintext or reversible password storage is forbidden.</w:t>
            </w:r>
          </w:p>
        </w:tc>
      </w:tr>
      <w:tr>
        <w:trPr>
          <w:cantSplit/>
        </w:trPr>
        <w:tc>
          <w:tcPr>
            <w:tcW w:type="dxa" w:w="5151"/>
            <w:vAlign w:val="top"/>
          </w:tcPr>
          <w:p>
            <w:pPr>
              <w:spacing w:after="0"/>
            </w:pPr>
            <w:r>
              <w:rPr>
                <w:sz w:val="11"/>
              </w:rPr>
              <w:t>SEC-D019</w:t>
            </w:r>
          </w:p>
        </w:tc>
        <w:tc>
          <w:tcPr>
            <w:tcW w:type="dxa" w:w="5151"/>
            <w:vAlign w:val="top"/>
          </w:tcPr>
          <w:p>
            <w:pPr>
              <w:spacing w:after="0"/>
            </w:pPr>
            <w:r>
              <w:rPr>
                <w:sz w:val="11"/>
              </w:rPr>
              <w:t>Session and token security</w:t>
            </w:r>
          </w:p>
        </w:tc>
        <w:tc>
          <w:tcPr>
            <w:tcW w:type="dxa" w:w="5151"/>
            <w:vAlign w:val="top"/>
          </w:tcPr>
          <w:p>
            <w:pPr>
              <w:spacing w:after="0"/>
            </w:pPr>
            <w:r>
              <w:rPr>
                <w:sz w:val="11"/>
              </w:rPr>
              <w:t>Access credentials are short-lived; refresh/session credentials are longer-lived and revocable.</w:t>
            </w:r>
          </w:p>
        </w:tc>
      </w:tr>
      <w:tr>
        <w:trPr>
          <w:cantSplit/>
        </w:trPr>
        <w:tc>
          <w:tcPr>
            <w:tcW w:type="dxa" w:w="5151"/>
            <w:vAlign w:val="top"/>
          </w:tcPr>
          <w:p>
            <w:pPr>
              <w:spacing w:after="0"/>
            </w:pPr>
            <w:r>
              <w:rPr>
                <w:sz w:val="11"/>
              </w:rPr>
              <w:t>SEC-D020</w:t>
            </w:r>
          </w:p>
        </w:tc>
        <w:tc>
          <w:tcPr>
            <w:tcW w:type="dxa" w:w="5151"/>
            <w:vAlign w:val="top"/>
          </w:tcPr>
          <w:p>
            <w:pPr>
              <w:spacing w:after="0"/>
            </w:pPr>
            <w:r>
              <w:rPr>
                <w:sz w:val="11"/>
              </w:rPr>
              <w:t>Session and token security</w:t>
            </w:r>
          </w:p>
        </w:tc>
        <w:tc>
          <w:tcPr>
            <w:tcW w:type="dxa" w:w="5151"/>
            <w:vAlign w:val="top"/>
          </w:tcPr>
          <w:p>
            <w:pPr>
              <w:spacing w:after="0"/>
            </w:pPr>
            <w:r>
              <w:rPr>
                <w:sz w:val="11"/>
              </w:rPr>
              <w:t>Access-token lifetime is 15 minutes; refresh/session maximum lifetime is 30 days.</w:t>
            </w:r>
          </w:p>
        </w:tc>
      </w:tr>
      <w:tr>
        <w:trPr>
          <w:cantSplit/>
        </w:trPr>
        <w:tc>
          <w:tcPr>
            <w:tcW w:type="dxa" w:w="5151"/>
            <w:vAlign w:val="top"/>
          </w:tcPr>
          <w:p>
            <w:pPr>
              <w:spacing w:after="0"/>
            </w:pPr>
            <w:r>
              <w:rPr>
                <w:sz w:val="11"/>
              </w:rPr>
              <w:t>SEC-D021</w:t>
            </w:r>
          </w:p>
        </w:tc>
        <w:tc>
          <w:tcPr>
            <w:tcW w:type="dxa" w:w="5151"/>
            <w:vAlign w:val="top"/>
          </w:tcPr>
          <w:p>
            <w:pPr>
              <w:spacing w:after="0"/>
            </w:pPr>
            <w:r>
              <w:rPr>
                <w:sz w:val="11"/>
              </w:rPr>
              <w:t>Session and token security</w:t>
            </w:r>
          </w:p>
        </w:tc>
        <w:tc>
          <w:tcPr>
            <w:tcW w:type="dxa" w:w="5151"/>
            <w:vAlign w:val="top"/>
          </w:tcPr>
          <w:p>
            <w:pPr>
              <w:spacing w:after="0"/>
            </w:pPr>
            <w:r>
              <w:rPr>
                <w:sz w:val="11"/>
              </w:rPr>
              <w:t>Refresh credentials rotate on successful refresh; a confirmed previous credential is not reusable.</w:t>
            </w:r>
          </w:p>
        </w:tc>
      </w:tr>
      <w:tr>
        <w:trPr>
          <w:cantSplit/>
        </w:trPr>
        <w:tc>
          <w:tcPr>
            <w:tcW w:type="dxa" w:w="5151"/>
            <w:vAlign w:val="top"/>
          </w:tcPr>
          <w:p>
            <w:pPr>
              <w:spacing w:after="0"/>
            </w:pPr>
            <w:r>
              <w:rPr>
                <w:sz w:val="11"/>
              </w:rPr>
              <w:t>SEC-D022</w:t>
            </w:r>
          </w:p>
        </w:tc>
        <w:tc>
          <w:tcPr>
            <w:tcW w:type="dxa" w:w="5151"/>
            <w:vAlign w:val="top"/>
          </w:tcPr>
          <w:p>
            <w:pPr>
              <w:spacing w:after="0"/>
            </w:pPr>
            <w:r>
              <w:rPr>
                <w:sz w:val="11"/>
              </w:rPr>
              <w:t>Session and token security</w:t>
            </w:r>
          </w:p>
        </w:tc>
        <w:tc>
          <w:tcPr>
            <w:tcW w:type="dxa" w:w="5151"/>
            <w:vAlign w:val="top"/>
          </w:tcPr>
          <w:p>
            <w:pPr>
              <w:spacing w:after="0"/>
            </w:pPr>
            <w:r>
              <w:rPr>
                <w:sz w:val="11"/>
              </w:rPr>
              <w:t>Sign Out invalidates the current server-side refresh/session credential and removes local active authentication credentials.</w:t>
            </w:r>
          </w:p>
        </w:tc>
      </w:tr>
      <w:tr>
        <w:trPr>
          <w:cantSplit/>
        </w:trPr>
        <w:tc>
          <w:tcPr>
            <w:tcW w:type="dxa" w:w="5151"/>
            <w:vAlign w:val="top"/>
          </w:tcPr>
          <w:p>
            <w:pPr>
              <w:spacing w:after="0"/>
            </w:pPr>
            <w:r>
              <w:rPr>
                <w:sz w:val="11"/>
              </w:rPr>
              <w:t>SEC-D023</w:t>
            </w:r>
          </w:p>
        </w:tc>
        <w:tc>
          <w:tcPr>
            <w:tcW w:type="dxa" w:w="5151"/>
            <w:vAlign w:val="top"/>
          </w:tcPr>
          <w:p>
            <w:pPr>
              <w:spacing w:after="0"/>
            </w:pPr>
            <w:r>
              <w:rPr>
                <w:sz w:val="11"/>
              </w:rPr>
              <w:t>Session and token security</w:t>
            </w:r>
          </w:p>
        </w:tc>
        <w:tc>
          <w:tcPr>
            <w:tcW w:type="dxa" w:w="5151"/>
            <w:vAlign w:val="top"/>
          </w:tcPr>
          <w:p>
            <w:pPr>
              <w:spacing w:after="0"/>
            </w:pPr>
            <w:r>
              <w:rPr>
                <w:sz w:val="11"/>
              </w:rPr>
              <w:t>Access/refresh credentials and protection keys are stored only through Android Keystore-backed secure storage.</w:t>
            </w:r>
          </w:p>
        </w:tc>
      </w:tr>
      <w:tr>
        <w:trPr>
          <w:cantSplit/>
        </w:trPr>
        <w:tc>
          <w:tcPr>
            <w:tcW w:type="dxa" w:w="5151"/>
            <w:vAlign w:val="top"/>
          </w:tcPr>
          <w:p>
            <w:pPr>
              <w:spacing w:after="0"/>
            </w:pPr>
            <w:r>
              <w:rPr>
                <w:sz w:val="11"/>
              </w:rPr>
              <w:t>SEC-D024</w:t>
            </w:r>
          </w:p>
        </w:tc>
        <w:tc>
          <w:tcPr>
            <w:tcW w:type="dxa" w:w="5151"/>
            <w:vAlign w:val="top"/>
          </w:tcPr>
          <w:p>
            <w:pPr>
              <w:spacing w:after="0"/>
            </w:pPr>
            <w:r>
              <w:rPr>
                <w:sz w:val="11"/>
              </w:rPr>
              <w:t>Session and token security</w:t>
            </w:r>
          </w:p>
        </w:tc>
        <w:tc>
          <w:tcPr>
            <w:tcW w:type="dxa" w:w="5151"/>
            <w:vAlign w:val="top"/>
          </w:tcPr>
          <w:p>
            <w:pPr>
              <w:spacing w:after="0"/>
            </w:pPr>
            <w:r>
              <w:rPr>
                <w:sz w:val="11"/>
              </w:rPr>
              <w:t>Tokens never enter Room, business outbox payloads, logs, analytics, crash reports, AuditEvent or diagnostic packages.</w:t>
            </w:r>
          </w:p>
        </w:tc>
      </w:tr>
      <w:tr>
        <w:trPr>
          <w:cantSplit/>
        </w:trPr>
        <w:tc>
          <w:tcPr>
            <w:tcW w:type="dxa" w:w="5151"/>
            <w:vAlign w:val="top"/>
          </w:tcPr>
          <w:p>
            <w:pPr>
              <w:spacing w:after="0"/>
            </w:pPr>
            <w:r>
              <w:rPr>
                <w:sz w:val="11"/>
              </w:rPr>
              <w:t>SEC-D025</w:t>
            </w:r>
          </w:p>
        </w:tc>
        <w:tc>
          <w:tcPr>
            <w:tcW w:type="dxa" w:w="5151"/>
            <w:vAlign w:val="top"/>
          </w:tcPr>
          <w:p>
            <w:pPr>
              <w:spacing w:after="0"/>
            </w:pPr>
            <w:r>
              <w:rPr>
                <w:sz w:val="11"/>
              </w:rPr>
              <w:t>Session and token security</w:t>
            </w:r>
          </w:p>
        </w:tc>
        <w:tc>
          <w:tcPr>
            <w:tcW w:type="dxa" w:w="5151"/>
            <w:vAlign w:val="top"/>
          </w:tcPr>
          <w:p>
            <w:pPr>
              <w:spacing w:after="0"/>
            </w:pPr>
            <w:r>
              <w:rPr>
                <w:sz w:val="11"/>
              </w:rPr>
              <w:t>App restart may restore a session only through protected credential/session material; this is not a user-selectable Remember Me feature.</w:t>
            </w:r>
          </w:p>
        </w:tc>
      </w:tr>
      <w:tr>
        <w:trPr>
          <w:cantSplit/>
        </w:trPr>
        <w:tc>
          <w:tcPr>
            <w:tcW w:type="dxa" w:w="5151"/>
            <w:vAlign w:val="top"/>
          </w:tcPr>
          <w:p>
            <w:pPr>
              <w:spacing w:after="0"/>
            </w:pPr>
            <w:r>
              <w:rPr>
                <w:sz w:val="11"/>
              </w:rPr>
              <w:t>SEC-D026</w:t>
            </w:r>
          </w:p>
        </w:tc>
        <w:tc>
          <w:tcPr>
            <w:tcW w:type="dxa" w:w="5151"/>
            <w:vAlign w:val="top"/>
          </w:tcPr>
          <w:p>
            <w:pPr>
              <w:spacing w:after="0"/>
            </w:pPr>
            <w:r>
              <w:rPr>
                <w:sz w:val="11"/>
              </w:rPr>
              <w:t>Session and token security</w:t>
            </w:r>
          </w:p>
        </w:tc>
        <w:tc>
          <w:tcPr>
            <w:tcW w:type="dxa" w:w="5151"/>
            <w:vAlign w:val="top"/>
          </w:tcPr>
          <w:p>
            <w:pPr>
              <w:spacing w:after="0"/>
            </w:pPr>
            <w:r>
              <w:rPr>
                <w:sz w:val="11"/>
              </w:rPr>
              <w:t>401 permits one secure refresh attempt and retry of the same operation; refresh failure returns the user to Sign In.</w:t>
            </w:r>
          </w:p>
        </w:tc>
      </w:tr>
      <w:tr>
        <w:trPr>
          <w:cantSplit/>
        </w:trPr>
        <w:tc>
          <w:tcPr>
            <w:tcW w:type="dxa" w:w="5151"/>
            <w:vAlign w:val="top"/>
          </w:tcPr>
          <w:p>
            <w:pPr>
              <w:spacing w:after="0"/>
            </w:pPr>
            <w:r>
              <w:rPr>
                <w:sz w:val="11"/>
              </w:rPr>
              <w:t>SEC-D027</w:t>
            </w:r>
          </w:p>
        </w:tc>
        <w:tc>
          <w:tcPr>
            <w:tcW w:type="dxa" w:w="5151"/>
            <w:vAlign w:val="top"/>
          </w:tcPr>
          <w:p>
            <w:pPr>
              <w:spacing w:after="0"/>
            </w:pPr>
            <w:r>
              <w:rPr>
                <w:sz w:val="11"/>
              </w:rPr>
              <w:t>Session and token security</w:t>
            </w:r>
          </w:p>
        </w:tc>
        <w:tc>
          <w:tcPr>
            <w:tcW w:type="dxa" w:w="5151"/>
            <w:vAlign w:val="top"/>
          </w:tcPr>
          <w:p>
            <w:pPr>
              <w:spacing w:after="0"/>
            </w:pPr>
            <w:r>
              <w:rPr>
                <w:sz w:val="11"/>
              </w:rPr>
              <w:t>First-time Sign In is not possible offline.</w:t>
            </w:r>
          </w:p>
        </w:tc>
      </w:tr>
      <w:tr>
        <w:trPr>
          <w:cantSplit/>
        </w:trPr>
        <w:tc>
          <w:tcPr>
            <w:tcW w:type="dxa" w:w="5151"/>
            <w:vAlign w:val="top"/>
          </w:tcPr>
          <w:p>
            <w:pPr>
              <w:spacing w:after="0"/>
            </w:pPr>
            <w:r>
              <w:rPr>
                <w:sz w:val="11"/>
              </w:rPr>
              <w:t>SEC-D028</w:t>
            </w:r>
          </w:p>
        </w:tc>
        <w:tc>
          <w:tcPr>
            <w:tcW w:type="dxa" w:w="5151"/>
            <w:vAlign w:val="top"/>
          </w:tcPr>
          <w:p>
            <w:pPr>
              <w:spacing w:after="0"/>
            </w:pPr>
            <w:r>
              <w:rPr>
                <w:sz w:val="11"/>
              </w:rPr>
              <w:t>Session and token security</w:t>
            </w:r>
          </w:p>
        </w:tc>
        <w:tc>
          <w:tcPr>
            <w:tcW w:type="dxa" w:w="5151"/>
            <w:vAlign w:val="top"/>
          </w:tcPr>
          <w:p>
            <w:pPr>
              <w:spacing w:after="0"/>
            </w:pPr>
            <w:r>
              <w:rPr>
                <w:sz w:val="11"/>
              </w:rPr>
              <w:t>Continue Offline requires a previously authenticated local identity and authorized verified offline context.</w:t>
            </w:r>
          </w:p>
        </w:tc>
      </w:tr>
      <w:tr>
        <w:trPr>
          <w:cantSplit/>
        </w:trPr>
        <w:tc>
          <w:tcPr>
            <w:tcW w:type="dxa" w:w="5151"/>
            <w:vAlign w:val="top"/>
          </w:tcPr>
          <w:p>
            <w:pPr>
              <w:spacing w:after="0"/>
            </w:pPr>
            <w:r>
              <w:rPr>
                <w:sz w:val="11"/>
              </w:rPr>
              <w:t>SEC-D029</w:t>
            </w:r>
          </w:p>
        </w:tc>
        <w:tc>
          <w:tcPr>
            <w:tcW w:type="dxa" w:w="5151"/>
            <w:vAlign w:val="top"/>
          </w:tcPr>
          <w:p>
            <w:pPr>
              <w:spacing w:after="0"/>
            </w:pPr>
            <w:r>
              <w:rPr>
                <w:sz w:val="11"/>
              </w:rPr>
              <w:t>Session and token security</w:t>
            </w:r>
          </w:p>
        </w:tc>
        <w:tc>
          <w:tcPr>
            <w:tcW w:type="dxa" w:w="5151"/>
            <w:vAlign w:val="top"/>
          </w:tcPr>
          <w:p>
            <w:pPr>
              <w:spacing w:after="0"/>
            </w:pPr>
            <w:r>
              <w:rPr>
                <w:sz w:val="11"/>
              </w:rPr>
              <w:t>Expired/revoked online credentials do not become permanent offline authority.</w:t>
            </w:r>
          </w:p>
        </w:tc>
      </w:tr>
      <w:tr>
        <w:trPr>
          <w:cantSplit/>
        </w:trPr>
        <w:tc>
          <w:tcPr>
            <w:tcW w:type="dxa" w:w="5151"/>
            <w:vAlign w:val="top"/>
          </w:tcPr>
          <w:p>
            <w:pPr>
              <w:spacing w:after="0"/>
            </w:pPr>
            <w:r>
              <w:rPr>
                <w:sz w:val="11"/>
              </w:rPr>
              <w:t>SEC-D030</w:t>
            </w:r>
          </w:p>
        </w:tc>
        <w:tc>
          <w:tcPr>
            <w:tcW w:type="dxa" w:w="5151"/>
            <w:vAlign w:val="top"/>
          </w:tcPr>
          <w:p>
            <w:pPr>
              <w:spacing w:after="0"/>
            </w:pPr>
            <w:r>
              <w:rPr>
                <w:sz w:val="11"/>
              </w:rPr>
              <w:t>Session and token security</w:t>
            </w:r>
          </w:p>
        </w:tc>
        <w:tc>
          <w:tcPr>
            <w:tcW w:type="dxa" w:w="5151"/>
            <w:vAlign w:val="top"/>
          </w:tcPr>
          <w:p>
            <w:pPr>
              <w:spacing w:after="0"/>
            </w:pPr>
            <w:r>
              <w:rPr>
                <w:sz w:val="11"/>
              </w:rPr>
              <w:t>When disablement/revocation becomes known, incompatible new operations are blocked; recoverable unsynced work is preserved rather than arbitrarily deleted.</w:t>
            </w:r>
          </w:p>
        </w:tc>
      </w:tr>
      <w:tr>
        <w:trPr>
          <w:cantSplit/>
        </w:trPr>
        <w:tc>
          <w:tcPr>
            <w:tcW w:type="dxa" w:w="5151"/>
            <w:vAlign w:val="top"/>
          </w:tcPr>
          <w:p>
            <w:pPr>
              <w:spacing w:after="0"/>
            </w:pPr>
            <w:r>
              <w:rPr>
                <w:sz w:val="11"/>
              </w:rPr>
              <w:t>SEC-D031</w:t>
            </w:r>
          </w:p>
        </w:tc>
        <w:tc>
          <w:tcPr>
            <w:tcW w:type="dxa" w:w="5151"/>
            <w:vAlign w:val="top"/>
          </w:tcPr>
          <w:p>
            <w:pPr>
              <w:spacing w:after="0"/>
            </w:pPr>
            <w:r>
              <w:rPr>
                <w:sz w:val="11"/>
              </w:rPr>
              <w:t>Transport and API security</w:t>
            </w:r>
          </w:p>
        </w:tc>
        <w:tc>
          <w:tcPr>
            <w:tcW w:type="dxa" w:w="5151"/>
            <w:vAlign w:val="top"/>
          </w:tcPr>
          <w:p>
            <w:pPr>
              <w:spacing w:after="0"/>
            </w:pPr>
            <w:r>
              <w:rPr>
                <w:sz w:val="11"/>
              </w:rPr>
              <w:t>Production API and Evidence transfer use HTTPS/TLS only.</w:t>
            </w:r>
          </w:p>
        </w:tc>
      </w:tr>
      <w:tr>
        <w:trPr>
          <w:cantSplit/>
        </w:trPr>
        <w:tc>
          <w:tcPr>
            <w:tcW w:type="dxa" w:w="5151"/>
            <w:vAlign w:val="top"/>
          </w:tcPr>
          <w:p>
            <w:pPr>
              <w:spacing w:after="0"/>
            </w:pPr>
            <w:r>
              <w:rPr>
                <w:sz w:val="11"/>
              </w:rPr>
              <w:t>SEC-D032</w:t>
            </w:r>
          </w:p>
        </w:tc>
        <w:tc>
          <w:tcPr>
            <w:tcW w:type="dxa" w:w="5151"/>
            <w:vAlign w:val="top"/>
          </w:tcPr>
          <w:p>
            <w:pPr>
              <w:spacing w:after="0"/>
            </w:pPr>
            <w:r>
              <w:rPr>
                <w:sz w:val="11"/>
              </w:rPr>
              <w:t>Transport and API security</w:t>
            </w:r>
          </w:p>
        </w:tc>
        <w:tc>
          <w:tcPr>
            <w:tcW w:type="dxa" w:w="5151"/>
            <w:vAlign w:val="top"/>
          </w:tcPr>
          <w:p>
            <w:pPr>
              <w:spacing w:after="0"/>
            </w:pPr>
            <w:r>
              <w:rPr>
                <w:sz w:val="11"/>
              </w:rPr>
              <w:t>Production Android Network Security Configuration disables cleartext HTTP.</w:t>
            </w:r>
          </w:p>
        </w:tc>
      </w:tr>
      <w:tr>
        <w:trPr>
          <w:cantSplit/>
        </w:trPr>
        <w:tc>
          <w:tcPr>
            <w:tcW w:type="dxa" w:w="5151"/>
            <w:vAlign w:val="top"/>
          </w:tcPr>
          <w:p>
            <w:pPr>
              <w:spacing w:after="0"/>
            </w:pPr>
            <w:r>
              <w:rPr>
                <w:sz w:val="11"/>
              </w:rPr>
              <w:t>SEC-D033</w:t>
            </w:r>
          </w:p>
        </w:tc>
        <w:tc>
          <w:tcPr>
            <w:tcW w:type="dxa" w:w="5151"/>
            <w:vAlign w:val="top"/>
          </w:tcPr>
          <w:p>
            <w:pPr>
              <w:spacing w:after="0"/>
            </w:pPr>
            <w:r>
              <w:rPr>
                <w:sz w:val="11"/>
              </w:rPr>
              <w:t>Transport and API security</w:t>
            </w:r>
          </w:p>
        </w:tc>
        <w:tc>
          <w:tcPr>
            <w:tcW w:type="dxa" w:w="5151"/>
            <w:vAlign w:val="top"/>
          </w:tcPr>
          <w:p>
            <w:pPr>
              <w:spacing w:after="0"/>
            </w:pPr>
            <w:r>
              <w:rPr>
                <w:sz w:val="11"/>
              </w:rPr>
              <w:t>Minimum transport is TLS 1.2; TLS 1.3 is preferred where negotiated.</w:t>
            </w:r>
          </w:p>
        </w:tc>
      </w:tr>
      <w:tr>
        <w:trPr>
          <w:cantSplit/>
        </w:trPr>
        <w:tc>
          <w:tcPr>
            <w:tcW w:type="dxa" w:w="5151"/>
            <w:vAlign w:val="top"/>
          </w:tcPr>
          <w:p>
            <w:pPr>
              <w:spacing w:after="0"/>
            </w:pPr>
            <w:r>
              <w:rPr>
                <w:sz w:val="11"/>
              </w:rPr>
              <w:t>SEC-D034</w:t>
            </w:r>
          </w:p>
        </w:tc>
        <w:tc>
          <w:tcPr>
            <w:tcW w:type="dxa" w:w="5151"/>
            <w:vAlign w:val="top"/>
          </w:tcPr>
          <w:p>
            <w:pPr>
              <w:spacing w:after="0"/>
            </w:pPr>
            <w:r>
              <w:rPr>
                <w:sz w:val="11"/>
              </w:rPr>
              <w:t>Transport and API security</w:t>
            </w:r>
          </w:p>
        </w:tc>
        <w:tc>
          <w:tcPr>
            <w:tcW w:type="dxa" w:w="5151"/>
            <w:vAlign w:val="top"/>
          </w:tcPr>
          <w:p>
            <w:pPr>
              <w:spacing w:after="0"/>
            </w:pPr>
            <w:r>
              <w:rPr>
                <w:sz w:val="11"/>
              </w:rPr>
              <w:t>Production uses normal certificate-chain and hostname validation; trust-all/bypass logic is forbidden.</w:t>
            </w:r>
          </w:p>
        </w:tc>
      </w:tr>
      <w:tr>
        <w:trPr>
          <w:cantSplit/>
        </w:trPr>
        <w:tc>
          <w:tcPr>
            <w:tcW w:type="dxa" w:w="5151"/>
            <w:vAlign w:val="top"/>
          </w:tcPr>
          <w:p>
            <w:pPr>
              <w:spacing w:after="0"/>
            </w:pPr>
            <w:r>
              <w:rPr>
                <w:sz w:val="11"/>
              </w:rPr>
              <w:t>SEC-D035</w:t>
            </w:r>
          </w:p>
        </w:tc>
        <w:tc>
          <w:tcPr>
            <w:tcW w:type="dxa" w:w="5151"/>
            <w:vAlign w:val="top"/>
          </w:tcPr>
          <w:p>
            <w:pPr>
              <w:spacing w:after="0"/>
            </w:pPr>
            <w:r>
              <w:rPr>
                <w:sz w:val="11"/>
              </w:rPr>
              <w:t>Transport and API security</w:t>
            </w:r>
          </w:p>
        </w:tc>
        <w:tc>
          <w:tcPr>
            <w:tcW w:type="dxa" w:w="5151"/>
            <w:vAlign w:val="top"/>
          </w:tcPr>
          <w:p>
            <w:pPr>
              <w:spacing w:after="0"/>
            </w:pPr>
            <w:r>
              <w:rPr>
                <w:sz w:val="11"/>
              </w:rPr>
              <w:t>Certificate pinning is not mandatory in V6 and requires a separate ADR with rotation/recovery strategy if introduced.</w:t>
            </w:r>
          </w:p>
        </w:tc>
      </w:tr>
      <w:tr>
        <w:trPr>
          <w:cantSplit/>
        </w:trPr>
        <w:tc>
          <w:tcPr>
            <w:tcW w:type="dxa" w:w="5151"/>
            <w:vAlign w:val="top"/>
          </w:tcPr>
          <w:p>
            <w:pPr>
              <w:spacing w:after="0"/>
            </w:pPr>
            <w:r>
              <w:rPr>
                <w:sz w:val="11"/>
              </w:rPr>
              <w:t>SEC-D036</w:t>
            </w:r>
          </w:p>
        </w:tc>
        <w:tc>
          <w:tcPr>
            <w:tcW w:type="dxa" w:w="5151"/>
            <w:vAlign w:val="top"/>
          </w:tcPr>
          <w:p>
            <w:pPr>
              <w:spacing w:after="0"/>
            </w:pPr>
            <w:r>
              <w:rPr>
                <w:sz w:val="11"/>
              </w:rPr>
              <w:t>Transport and API security</w:t>
            </w:r>
          </w:p>
        </w:tc>
        <w:tc>
          <w:tcPr>
            <w:tcW w:type="dxa" w:w="5151"/>
            <w:vAlign w:val="top"/>
          </w:tcPr>
          <w:p>
            <w:pPr>
              <w:spacing w:after="0"/>
            </w:pPr>
            <w:r>
              <w:rPr>
                <w:sz w:val="11"/>
              </w:rPr>
              <w:t>Authentication and authorization are evaluated for every protected API request; client-supplied organizationId/userId is not proof of authority.</w:t>
            </w:r>
          </w:p>
        </w:tc>
      </w:tr>
      <w:tr>
        <w:trPr>
          <w:cantSplit/>
        </w:trPr>
        <w:tc>
          <w:tcPr>
            <w:tcW w:type="dxa" w:w="5151"/>
            <w:vAlign w:val="top"/>
          </w:tcPr>
          <w:p>
            <w:pPr>
              <w:spacing w:after="0"/>
            </w:pPr>
            <w:r>
              <w:rPr>
                <w:sz w:val="11"/>
              </w:rPr>
              <w:t>SEC-D037</w:t>
            </w:r>
          </w:p>
        </w:tc>
        <w:tc>
          <w:tcPr>
            <w:tcW w:type="dxa" w:w="5151"/>
            <w:vAlign w:val="top"/>
          </w:tcPr>
          <w:p>
            <w:pPr>
              <w:spacing w:after="0"/>
            </w:pPr>
            <w:r>
              <w:rPr>
                <w:sz w:val="11"/>
              </w:rPr>
              <w:t>Transport and API security</w:t>
            </w:r>
          </w:p>
        </w:tc>
        <w:tc>
          <w:tcPr>
            <w:tcW w:type="dxa" w:w="5151"/>
            <w:vAlign w:val="top"/>
          </w:tcPr>
          <w:p>
            <w:pPr>
              <w:spacing w:after="0"/>
            </w:pPr>
            <w:r>
              <w:rPr>
                <w:sz w:val="11"/>
              </w:rPr>
              <w:t>API errors never expose stack traces, SQL, secrets, token values or internal object-storage credentials.</w:t>
            </w:r>
          </w:p>
        </w:tc>
      </w:tr>
      <w:tr>
        <w:trPr>
          <w:cantSplit/>
        </w:trPr>
        <w:tc>
          <w:tcPr>
            <w:tcW w:type="dxa" w:w="5151"/>
            <w:vAlign w:val="top"/>
          </w:tcPr>
          <w:p>
            <w:pPr>
              <w:spacing w:after="0"/>
            </w:pPr>
            <w:r>
              <w:rPr>
                <w:sz w:val="11"/>
              </w:rPr>
              <w:t>SEC-D038</w:t>
            </w:r>
          </w:p>
        </w:tc>
        <w:tc>
          <w:tcPr>
            <w:tcW w:type="dxa" w:w="5151"/>
            <w:vAlign w:val="top"/>
          </w:tcPr>
          <w:p>
            <w:pPr>
              <w:spacing w:after="0"/>
            </w:pPr>
            <w:r>
              <w:rPr>
                <w:sz w:val="11"/>
              </w:rPr>
              <w:t>Transport and API security</w:t>
            </w:r>
          </w:p>
        </w:tc>
        <w:tc>
          <w:tcPr>
            <w:tcW w:type="dxa" w:w="5151"/>
            <w:vAlign w:val="top"/>
          </w:tcPr>
          <w:p>
            <w:pPr>
              <w:spacing w:after="0"/>
            </w:pPr>
            <w:r>
              <w:rPr>
                <w:sz w:val="11"/>
              </w:rPr>
              <w:t>Idempotency keys, entityVersion and correlation IDs support integrity/traceability but are not authentication credentials.</w:t>
            </w:r>
          </w:p>
        </w:tc>
      </w:tr>
      <w:tr>
        <w:trPr>
          <w:cantSplit/>
        </w:trPr>
        <w:tc>
          <w:tcPr>
            <w:tcW w:type="dxa" w:w="5151"/>
            <w:vAlign w:val="top"/>
          </w:tcPr>
          <w:p>
            <w:pPr>
              <w:spacing w:after="0"/>
            </w:pPr>
            <w:r>
              <w:rPr>
                <w:sz w:val="11"/>
              </w:rPr>
              <w:t>SEC-D039</w:t>
            </w:r>
          </w:p>
        </w:tc>
        <w:tc>
          <w:tcPr>
            <w:tcW w:type="dxa" w:w="5151"/>
            <w:vAlign w:val="top"/>
          </w:tcPr>
          <w:p>
            <w:pPr>
              <w:spacing w:after="0"/>
            </w:pPr>
            <w:r>
              <w:rPr>
                <w:sz w:val="11"/>
              </w:rPr>
              <w:t>Local device security</w:t>
            </w:r>
          </w:p>
        </w:tc>
        <w:tc>
          <w:tcPr>
            <w:tcW w:type="dxa" w:w="5151"/>
            <w:vAlign w:val="top"/>
          </w:tcPr>
          <w:p>
            <w:pPr>
              <w:spacing w:after="0"/>
            </w:pPr>
            <w:r>
              <w:rPr>
                <w:sz w:val="11"/>
              </w:rPr>
              <w:t>Offline business data uses the Android application sandbox and app-private storage.</w:t>
            </w:r>
          </w:p>
        </w:tc>
      </w:tr>
      <w:tr>
        <w:trPr>
          <w:cantSplit/>
        </w:trPr>
        <w:tc>
          <w:tcPr>
            <w:tcW w:type="dxa" w:w="5151"/>
            <w:vAlign w:val="top"/>
          </w:tcPr>
          <w:p>
            <w:pPr>
              <w:spacing w:after="0"/>
            </w:pPr>
            <w:r>
              <w:rPr>
                <w:sz w:val="11"/>
              </w:rPr>
              <w:t>SEC-D040</w:t>
            </w:r>
          </w:p>
        </w:tc>
        <w:tc>
          <w:tcPr>
            <w:tcW w:type="dxa" w:w="5151"/>
            <w:vAlign w:val="top"/>
          </w:tcPr>
          <w:p>
            <w:pPr>
              <w:spacing w:after="0"/>
            </w:pPr>
            <w:r>
              <w:rPr>
                <w:sz w:val="11"/>
              </w:rPr>
              <w:t>Local device security</w:t>
            </w:r>
          </w:p>
        </w:tc>
        <w:tc>
          <w:tcPr>
            <w:tcW w:type="dxa" w:w="5151"/>
            <w:vAlign w:val="top"/>
          </w:tcPr>
          <w:p>
            <w:pPr>
              <w:spacing w:after="0"/>
            </w:pPr>
            <w:r>
              <w:rPr>
                <w:sz w:val="11"/>
              </w:rPr>
              <w:t>PHOTO Evidence remains app-private and is not automatically copied to public gallery/shared storage.</w:t>
            </w:r>
          </w:p>
        </w:tc>
      </w:tr>
      <w:tr>
        <w:trPr>
          <w:cantSplit/>
        </w:trPr>
        <w:tc>
          <w:tcPr>
            <w:tcW w:type="dxa" w:w="5151"/>
            <w:vAlign w:val="top"/>
          </w:tcPr>
          <w:p>
            <w:pPr>
              <w:spacing w:after="0"/>
            </w:pPr>
            <w:r>
              <w:rPr>
                <w:sz w:val="11"/>
              </w:rPr>
              <w:t>SEC-D041</w:t>
            </w:r>
          </w:p>
        </w:tc>
        <w:tc>
          <w:tcPr>
            <w:tcW w:type="dxa" w:w="5151"/>
            <w:vAlign w:val="top"/>
          </w:tcPr>
          <w:p>
            <w:pPr>
              <w:spacing w:after="0"/>
            </w:pPr>
            <w:r>
              <w:rPr>
                <w:sz w:val="11"/>
              </w:rPr>
              <w:t>Local device security</w:t>
            </w:r>
          </w:p>
        </w:tc>
        <w:tc>
          <w:tcPr>
            <w:tcW w:type="dxa" w:w="5151"/>
            <w:vAlign w:val="top"/>
          </w:tcPr>
          <w:p>
            <w:pPr>
              <w:spacing w:after="0"/>
            </w:pPr>
            <w:r>
              <w:rPr>
                <w:sz w:val="11"/>
              </w:rPr>
              <w:t>Room contains neither password/token secrets nor PHOTO BLOBs.</w:t>
            </w:r>
          </w:p>
        </w:tc>
      </w:tr>
      <w:tr>
        <w:trPr>
          <w:cantSplit/>
        </w:trPr>
        <w:tc>
          <w:tcPr>
            <w:tcW w:type="dxa" w:w="5151"/>
            <w:vAlign w:val="top"/>
          </w:tcPr>
          <w:p>
            <w:pPr>
              <w:spacing w:after="0"/>
            </w:pPr>
            <w:r>
              <w:rPr>
                <w:sz w:val="11"/>
              </w:rPr>
              <w:t>SEC-D042</w:t>
            </w:r>
          </w:p>
        </w:tc>
        <w:tc>
          <w:tcPr>
            <w:tcW w:type="dxa" w:w="5151"/>
            <w:vAlign w:val="top"/>
          </w:tcPr>
          <w:p>
            <w:pPr>
              <w:spacing w:after="0"/>
            </w:pPr>
            <w:r>
              <w:rPr>
                <w:sz w:val="11"/>
              </w:rPr>
              <w:t>Local device security</w:t>
            </w:r>
          </w:p>
        </w:tc>
        <w:tc>
          <w:tcPr>
            <w:tcW w:type="dxa" w:w="5151"/>
            <w:vAlign w:val="top"/>
          </w:tcPr>
          <w:p>
            <w:pPr>
              <w:spacing w:after="0"/>
            </w:pPr>
            <w:r>
              <w:rPr>
                <w:sz w:val="11"/>
              </w:rPr>
              <w:t>Production Room/offline business data is encrypted at rest; key material is protected through Android Keystore.</w:t>
            </w:r>
          </w:p>
        </w:tc>
      </w:tr>
      <w:tr>
        <w:trPr>
          <w:cantSplit/>
        </w:trPr>
        <w:tc>
          <w:tcPr>
            <w:tcW w:type="dxa" w:w="5151"/>
            <w:vAlign w:val="top"/>
          </w:tcPr>
          <w:p>
            <w:pPr>
              <w:spacing w:after="0"/>
            </w:pPr>
            <w:r>
              <w:rPr>
                <w:sz w:val="11"/>
              </w:rPr>
              <w:t>SEC-D043</w:t>
            </w:r>
          </w:p>
        </w:tc>
        <w:tc>
          <w:tcPr>
            <w:tcW w:type="dxa" w:w="5151"/>
            <w:vAlign w:val="top"/>
          </w:tcPr>
          <w:p>
            <w:pPr>
              <w:spacing w:after="0"/>
            </w:pPr>
            <w:r>
              <w:rPr>
                <w:sz w:val="11"/>
              </w:rPr>
              <w:t>Local device security</w:t>
            </w:r>
          </w:p>
        </w:tc>
        <w:tc>
          <w:tcPr>
            <w:tcW w:type="dxa" w:w="5151"/>
            <w:vAlign w:val="top"/>
          </w:tcPr>
          <w:p>
            <w:pPr>
              <w:spacing w:after="0"/>
            </w:pPr>
            <w:r>
              <w:rPr>
                <w:sz w:val="11"/>
              </w:rPr>
              <w:t>Database-encryption keys are not hardcoded, committed, embedded as plaintext configuration or synchronized as business data.</w:t>
            </w:r>
          </w:p>
        </w:tc>
      </w:tr>
      <w:tr>
        <w:trPr>
          <w:cantSplit/>
        </w:trPr>
        <w:tc>
          <w:tcPr>
            <w:tcW w:type="dxa" w:w="5151"/>
            <w:vAlign w:val="top"/>
          </w:tcPr>
          <w:p>
            <w:pPr>
              <w:spacing w:after="0"/>
            </w:pPr>
            <w:r>
              <w:rPr>
                <w:sz w:val="11"/>
              </w:rPr>
              <w:t>SEC-D044</w:t>
            </w:r>
          </w:p>
        </w:tc>
        <w:tc>
          <w:tcPr>
            <w:tcW w:type="dxa" w:w="5151"/>
            <w:vAlign w:val="top"/>
          </w:tcPr>
          <w:p>
            <w:pPr>
              <w:spacing w:after="0"/>
            </w:pPr>
            <w:r>
              <w:rPr>
                <w:sz w:val="11"/>
              </w:rPr>
              <w:t>Local device security</w:t>
            </w:r>
          </w:p>
        </w:tc>
        <w:tc>
          <w:tcPr>
            <w:tcW w:type="dxa" w:w="5151"/>
            <w:vAlign w:val="top"/>
          </w:tcPr>
          <w:p>
            <w:pPr>
              <w:spacing w:after="0"/>
            </w:pPr>
            <w:r>
              <w:rPr>
                <w:sz w:val="11"/>
              </w:rPr>
              <w:t>Platform backup/restore excludes auth credentials, database keys and sensitive offline Campaign/Evidence stores.</w:t>
            </w:r>
          </w:p>
        </w:tc>
      </w:tr>
      <w:tr>
        <w:trPr>
          <w:cantSplit/>
        </w:trPr>
        <w:tc>
          <w:tcPr>
            <w:tcW w:type="dxa" w:w="5151"/>
            <w:vAlign w:val="top"/>
          </w:tcPr>
          <w:p>
            <w:pPr>
              <w:spacing w:after="0"/>
            </w:pPr>
            <w:r>
              <w:rPr>
                <w:sz w:val="11"/>
              </w:rPr>
              <w:t>SEC-D045</w:t>
            </w:r>
          </w:p>
        </w:tc>
        <w:tc>
          <w:tcPr>
            <w:tcW w:type="dxa" w:w="5151"/>
            <w:vAlign w:val="top"/>
          </w:tcPr>
          <w:p>
            <w:pPr>
              <w:spacing w:after="0"/>
            </w:pPr>
            <w:r>
              <w:rPr>
                <w:sz w:val="11"/>
              </w:rPr>
              <w:t>Local device security</w:t>
            </w:r>
          </w:p>
        </w:tc>
        <w:tc>
          <w:tcPr>
            <w:tcW w:type="dxa" w:w="5151"/>
            <w:vAlign w:val="top"/>
          </w:tcPr>
          <w:p>
            <w:pPr>
              <w:spacing w:after="0"/>
            </w:pPr>
            <w:r>
              <w:rPr>
                <w:sz w:val="11"/>
              </w:rPr>
              <w:t>Secrets are not copied/shared through clipboard/export/share workflows; business exports use approved report flows only.</w:t>
            </w:r>
          </w:p>
        </w:tc>
      </w:tr>
      <w:tr>
        <w:trPr>
          <w:cantSplit/>
        </w:trPr>
        <w:tc>
          <w:tcPr>
            <w:tcW w:type="dxa" w:w="5151"/>
            <w:vAlign w:val="top"/>
          </w:tcPr>
          <w:p>
            <w:pPr>
              <w:spacing w:after="0"/>
            </w:pPr>
            <w:r>
              <w:rPr>
                <w:sz w:val="11"/>
              </w:rPr>
              <w:t>SEC-D046</w:t>
            </w:r>
          </w:p>
        </w:tc>
        <w:tc>
          <w:tcPr>
            <w:tcW w:type="dxa" w:w="5151"/>
            <w:vAlign w:val="top"/>
          </w:tcPr>
          <w:p>
            <w:pPr>
              <w:spacing w:after="0"/>
            </w:pPr>
            <w:r>
              <w:rPr>
                <w:sz w:val="11"/>
              </w:rPr>
              <w:t>Local device security</w:t>
            </w:r>
          </w:p>
        </w:tc>
        <w:tc>
          <w:tcPr>
            <w:tcW w:type="dxa" w:w="5151"/>
            <w:vAlign w:val="top"/>
          </w:tcPr>
          <w:p>
            <w:pPr>
              <w:spacing w:after="0"/>
            </w:pPr>
            <w:r>
              <w:rPr>
                <w:sz w:val="11"/>
              </w:rPr>
              <w:t>Root detection/device attestation is not a V6 authorization boundary.</w:t>
            </w:r>
          </w:p>
        </w:tc>
      </w:tr>
      <w:tr>
        <w:trPr>
          <w:cantSplit/>
        </w:trPr>
        <w:tc>
          <w:tcPr>
            <w:tcW w:type="dxa" w:w="5151"/>
            <w:vAlign w:val="top"/>
          </w:tcPr>
          <w:p>
            <w:pPr>
              <w:spacing w:after="0"/>
            </w:pPr>
            <w:r>
              <w:rPr>
                <w:sz w:val="11"/>
              </w:rPr>
              <w:t>SEC-D047</w:t>
            </w:r>
          </w:p>
        </w:tc>
        <w:tc>
          <w:tcPr>
            <w:tcW w:type="dxa" w:w="5151"/>
            <w:vAlign w:val="top"/>
          </w:tcPr>
          <w:p>
            <w:pPr>
              <w:spacing w:after="0"/>
            </w:pPr>
            <w:r>
              <w:rPr>
                <w:sz w:val="11"/>
              </w:rPr>
              <w:t>Backend, database and object storage</w:t>
            </w:r>
          </w:p>
        </w:tc>
        <w:tc>
          <w:tcPr>
            <w:tcW w:type="dxa" w:w="5151"/>
            <w:vAlign w:val="top"/>
          </w:tcPr>
          <w:p>
            <w:pPr>
              <w:spacing w:after="0"/>
            </w:pPr>
            <w:r>
              <w:rPr>
                <w:sz w:val="11"/>
              </w:rPr>
              <w:t>Android never connects directly to PostgreSQL; business access goes through the Backend API.</w:t>
            </w:r>
          </w:p>
        </w:tc>
      </w:tr>
      <w:tr>
        <w:trPr>
          <w:cantSplit/>
        </w:trPr>
        <w:tc>
          <w:tcPr>
            <w:tcW w:type="dxa" w:w="5151"/>
            <w:vAlign w:val="top"/>
          </w:tcPr>
          <w:p>
            <w:pPr>
              <w:spacing w:after="0"/>
            </w:pPr>
            <w:r>
              <w:rPr>
                <w:sz w:val="11"/>
              </w:rPr>
              <w:t>SEC-D048</w:t>
            </w:r>
          </w:p>
        </w:tc>
        <w:tc>
          <w:tcPr>
            <w:tcW w:type="dxa" w:w="5151"/>
            <w:vAlign w:val="top"/>
          </w:tcPr>
          <w:p>
            <w:pPr>
              <w:spacing w:after="0"/>
            </w:pPr>
            <w:r>
              <w:rPr>
                <w:sz w:val="11"/>
              </w:rPr>
              <w:t>Backend, database and object storage</w:t>
            </w:r>
          </w:p>
        </w:tc>
        <w:tc>
          <w:tcPr>
            <w:tcW w:type="dxa" w:w="5151"/>
            <w:vAlign w:val="top"/>
          </w:tcPr>
          <w:p>
            <w:pPr>
              <w:spacing w:after="0"/>
            </w:pPr>
            <w:r>
              <w:rPr>
                <w:sz w:val="11"/>
              </w:rPr>
              <w:t>Database and object-storage credentials are environment secrets and are never included in the Android APK.</w:t>
            </w:r>
          </w:p>
        </w:tc>
      </w:tr>
      <w:tr>
        <w:trPr>
          <w:cantSplit/>
        </w:trPr>
        <w:tc>
          <w:tcPr>
            <w:tcW w:type="dxa" w:w="5151"/>
            <w:vAlign w:val="top"/>
          </w:tcPr>
          <w:p>
            <w:pPr>
              <w:spacing w:after="0"/>
            </w:pPr>
            <w:r>
              <w:rPr>
                <w:sz w:val="11"/>
              </w:rPr>
              <w:t>SEC-D049</w:t>
            </w:r>
          </w:p>
        </w:tc>
        <w:tc>
          <w:tcPr>
            <w:tcW w:type="dxa" w:w="5151"/>
            <w:vAlign w:val="top"/>
          </w:tcPr>
          <w:p>
            <w:pPr>
              <w:spacing w:after="0"/>
            </w:pPr>
            <w:r>
              <w:rPr>
                <w:sz w:val="11"/>
              </w:rPr>
              <w:t>Backend, database and object storage</w:t>
            </w:r>
          </w:p>
        </w:tc>
        <w:tc>
          <w:tcPr>
            <w:tcW w:type="dxa" w:w="5151"/>
            <w:vAlign w:val="top"/>
          </w:tcPr>
          <w:p>
            <w:pPr>
              <w:spacing w:after="0"/>
            </w:pPr>
            <w:r>
              <w:rPr>
                <w:sz w:val="11"/>
              </w:rPr>
              <w:t>Production database transport is encrypted across trust boundaries; public unauthenticated database exposure is forbidden.</w:t>
            </w:r>
          </w:p>
        </w:tc>
      </w:tr>
      <w:tr>
        <w:trPr>
          <w:cantSplit/>
        </w:trPr>
        <w:tc>
          <w:tcPr>
            <w:tcW w:type="dxa" w:w="5151"/>
            <w:vAlign w:val="top"/>
          </w:tcPr>
          <w:p>
            <w:pPr>
              <w:spacing w:after="0"/>
            </w:pPr>
            <w:r>
              <w:rPr>
                <w:sz w:val="11"/>
              </w:rPr>
              <w:t>SEC-D050</w:t>
            </w:r>
          </w:p>
        </w:tc>
        <w:tc>
          <w:tcPr>
            <w:tcW w:type="dxa" w:w="5151"/>
            <w:vAlign w:val="top"/>
          </w:tcPr>
          <w:p>
            <w:pPr>
              <w:spacing w:after="0"/>
            </w:pPr>
            <w:r>
              <w:rPr>
                <w:sz w:val="11"/>
              </w:rPr>
              <w:t>Backend, database and object storage</w:t>
            </w:r>
          </w:p>
        </w:tc>
        <w:tc>
          <w:tcPr>
            <w:tcW w:type="dxa" w:w="5151"/>
            <w:vAlign w:val="top"/>
          </w:tcPr>
          <w:p>
            <w:pPr>
              <w:spacing w:after="0"/>
            </w:pPr>
            <w:r>
              <w:rPr>
                <w:sz w:val="11"/>
              </w:rPr>
              <w:t>Evidence object storage is private; remoteObjectRef is opaque and is not a public URL or bearer credential.</w:t>
            </w:r>
          </w:p>
        </w:tc>
      </w:tr>
      <w:tr>
        <w:trPr>
          <w:cantSplit/>
        </w:trPr>
        <w:tc>
          <w:tcPr>
            <w:tcW w:type="dxa" w:w="5151"/>
            <w:vAlign w:val="top"/>
          </w:tcPr>
          <w:p>
            <w:pPr>
              <w:spacing w:after="0"/>
            </w:pPr>
            <w:r>
              <w:rPr>
                <w:sz w:val="11"/>
              </w:rPr>
              <w:t>SEC-D051</w:t>
            </w:r>
          </w:p>
        </w:tc>
        <w:tc>
          <w:tcPr>
            <w:tcW w:type="dxa" w:w="5151"/>
            <w:vAlign w:val="top"/>
          </w:tcPr>
          <w:p>
            <w:pPr>
              <w:spacing w:after="0"/>
            </w:pPr>
            <w:r>
              <w:rPr>
                <w:sz w:val="11"/>
              </w:rPr>
              <w:t>Backend, database and object storage</w:t>
            </w:r>
          </w:p>
        </w:tc>
        <w:tc>
          <w:tcPr>
            <w:tcW w:type="dxa" w:w="5151"/>
            <w:vAlign w:val="top"/>
          </w:tcPr>
          <w:p>
            <w:pPr>
              <w:spacing w:after="0"/>
            </w:pPr>
            <w:r>
              <w:rPr>
                <w:sz w:val="11"/>
              </w:rPr>
              <w:t>Evidence upload/download authorization is enforced through backend Organization/Campaign/owner context.</w:t>
            </w:r>
          </w:p>
        </w:tc>
      </w:tr>
      <w:tr>
        <w:trPr>
          <w:cantSplit/>
        </w:trPr>
        <w:tc>
          <w:tcPr>
            <w:tcW w:type="dxa" w:w="5151"/>
            <w:vAlign w:val="top"/>
          </w:tcPr>
          <w:p>
            <w:pPr>
              <w:spacing w:after="0"/>
            </w:pPr>
            <w:r>
              <w:rPr>
                <w:sz w:val="11"/>
              </w:rPr>
              <w:t>SEC-D052</w:t>
            </w:r>
          </w:p>
        </w:tc>
        <w:tc>
          <w:tcPr>
            <w:tcW w:type="dxa" w:w="5151"/>
            <w:vAlign w:val="top"/>
          </w:tcPr>
          <w:p>
            <w:pPr>
              <w:spacing w:after="0"/>
            </w:pPr>
            <w:r>
              <w:rPr>
                <w:sz w:val="11"/>
              </w:rPr>
              <w:t>Backend, database and object storage</w:t>
            </w:r>
          </w:p>
        </w:tc>
        <w:tc>
          <w:tcPr>
            <w:tcW w:type="dxa" w:w="5151"/>
            <w:vAlign w:val="top"/>
          </w:tcPr>
          <w:p>
            <w:pPr>
              <w:spacing w:after="0"/>
            </w:pPr>
            <w:r>
              <w:rPr>
                <w:sz w:val="11"/>
              </w:rPr>
              <w:t>Storage lifecycle/cleanup must not delete retained historical Evidence or create dangling references.</w:t>
            </w:r>
          </w:p>
        </w:tc>
      </w:tr>
      <w:tr>
        <w:trPr>
          <w:cantSplit/>
        </w:trPr>
        <w:tc>
          <w:tcPr>
            <w:tcW w:type="dxa" w:w="5151"/>
            <w:vAlign w:val="top"/>
          </w:tcPr>
          <w:p>
            <w:pPr>
              <w:spacing w:after="0"/>
            </w:pPr>
            <w:r>
              <w:rPr>
                <w:sz w:val="11"/>
              </w:rPr>
              <w:t>SEC-D053</w:t>
            </w:r>
          </w:p>
        </w:tc>
        <w:tc>
          <w:tcPr>
            <w:tcW w:type="dxa" w:w="5151"/>
            <w:vAlign w:val="top"/>
          </w:tcPr>
          <w:p>
            <w:pPr>
              <w:spacing w:after="0"/>
            </w:pPr>
            <w:r>
              <w:rPr>
                <w:sz w:val="11"/>
              </w:rPr>
              <w:t>Backend, database and object storage</w:t>
            </w:r>
          </w:p>
        </w:tc>
        <w:tc>
          <w:tcPr>
            <w:tcW w:type="dxa" w:w="5151"/>
            <w:vAlign w:val="top"/>
          </w:tcPr>
          <w:p>
            <w:pPr>
              <w:spacing w:after="0"/>
            </w:pPr>
            <w:r>
              <w:rPr>
                <w:sz w:val="11"/>
              </w:rPr>
              <w:t>Production secrets are supplied by environment/secret-management facilities, not committed configuration.</w:t>
            </w:r>
          </w:p>
        </w:tc>
      </w:tr>
      <w:tr>
        <w:trPr>
          <w:cantSplit/>
        </w:trPr>
        <w:tc>
          <w:tcPr>
            <w:tcW w:type="dxa" w:w="5151"/>
            <w:vAlign w:val="top"/>
          </w:tcPr>
          <w:p>
            <w:pPr>
              <w:spacing w:after="0"/>
            </w:pPr>
            <w:r>
              <w:rPr>
                <w:sz w:val="11"/>
              </w:rPr>
              <w:t>SEC-D054</w:t>
            </w:r>
          </w:p>
        </w:tc>
        <w:tc>
          <w:tcPr>
            <w:tcW w:type="dxa" w:w="5151"/>
            <w:vAlign w:val="top"/>
          </w:tcPr>
          <w:p>
            <w:pPr>
              <w:spacing w:after="0"/>
            </w:pPr>
            <w:r>
              <w:rPr>
                <w:sz w:val="11"/>
              </w:rPr>
              <w:t>Backend, database and object storage</w:t>
            </w:r>
          </w:p>
        </w:tc>
        <w:tc>
          <w:tcPr>
            <w:tcW w:type="dxa" w:w="5151"/>
            <w:vAlign w:val="top"/>
          </w:tcPr>
          <w:p>
            <w:pPr>
              <w:spacing w:after="0"/>
            </w:pPr>
            <w:r>
              <w:rPr>
                <w:sz w:val="11"/>
              </w:rPr>
              <w:t>Development, Staging and Production use separate credentials/secrets; Production credentials are not reused in lower environments.</w:t>
            </w:r>
          </w:p>
        </w:tc>
      </w:tr>
      <w:tr>
        <w:trPr>
          <w:cantSplit/>
        </w:trPr>
        <w:tc>
          <w:tcPr>
            <w:tcW w:type="dxa" w:w="5151"/>
            <w:vAlign w:val="top"/>
          </w:tcPr>
          <w:p>
            <w:pPr>
              <w:spacing w:after="0"/>
            </w:pPr>
            <w:r>
              <w:rPr>
                <w:sz w:val="11"/>
              </w:rPr>
              <w:t>SEC-D055</w:t>
            </w:r>
          </w:p>
        </w:tc>
        <w:tc>
          <w:tcPr>
            <w:tcW w:type="dxa" w:w="5151"/>
            <w:vAlign w:val="top"/>
          </w:tcPr>
          <w:p>
            <w:pPr>
              <w:spacing w:after="0"/>
            </w:pPr>
            <w:r>
              <w:rPr>
                <w:sz w:val="11"/>
              </w:rPr>
              <w:t>Input and data integrity</w:t>
            </w:r>
          </w:p>
        </w:tc>
        <w:tc>
          <w:tcPr>
            <w:tcW w:type="dxa" w:w="5151"/>
            <w:vAlign w:val="top"/>
          </w:tcPr>
          <w:p>
            <w:pPr>
              <w:spacing w:after="0"/>
            </w:pPr>
            <w:r>
              <w:rPr>
                <w:sz w:val="11"/>
              </w:rPr>
              <w:t>Server validates client-controlled IDs, enums, lengths, numeric constraints, entityVersion and workflow transitions.</w:t>
            </w:r>
          </w:p>
        </w:tc>
      </w:tr>
      <w:tr>
        <w:trPr>
          <w:cantSplit/>
        </w:trPr>
        <w:tc>
          <w:tcPr>
            <w:tcW w:type="dxa" w:w="5151"/>
            <w:vAlign w:val="top"/>
          </w:tcPr>
          <w:p>
            <w:pPr>
              <w:spacing w:after="0"/>
            </w:pPr>
            <w:r>
              <w:rPr>
                <w:sz w:val="11"/>
              </w:rPr>
              <w:t>SEC-D056</w:t>
            </w:r>
          </w:p>
        </w:tc>
        <w:tc>
          <w:tcPr>
            <w:tcW w:type="dxa" w:w="5151"/>
            <w:vAlign w:val="top"/>
          </w:tcPr>
          <w:p>
            <w:pPr>
              <w:spacing w:after="0"/>
            </w:pPr>
            <w:r>
              <w:rPr>
                <w:sz w:val="11"/>
              </w:rPr>
              <w:t>Input and data integrity</w:t>
            </w:r>
          </w:p>
        </w:tc>
        <w:tc>
          <w:tcPr>
            <w:tcW w:type="dxa" w:w="5151"/>
            <w:vAlign w:val="top"/>
          </w:tcPr>
          <w:p>
            <w:pPr>
              <w:spacing w:after="0"/>
            </w:pPr>
            <w:r>
              <w:rPr>
                <w:sz w:val="11"/>
              </w:rPr>
              <w:t>SQL access uses parameterized/prepared queries or safe ORM binding; client input is never concatenated into executable SQL.</w:t>
            </w:r>
          </w:p>
        </w:tc>
      </w:tr>
      <w:tr>
        <w:trPr>
          <w:cantSplit/>
        </w:trPr>
        <w:tc>
          <w:tcPr>
            <w:tcW w:type="dxa" w:w="5151"/>
            <w:vAlign w:val="top"/>
          </w:tcPr>
          <w:p>
            <w:pPr>
              <w:spacing w:after="0"/>
            </w:pPr>
            <w:r>
              <w:rPr>
                <w:sz w:val="11"/>
              </w:rPr>
              <w:t>SEC-D057</w:t>
            </w:r>
          </w:p>
        </w:tc>
        <w:tc>
          <w:tcPr>
            <w:tcW w:type="dxa" w:w="5151"/>
            <w:vAlign w:val="top"/>
          </w:tcPr>
          <w:p>
            <w:pPr>
              <w:spacing w:after="0"/>
            </w:pPr>
            <w:r>
              <w:rPr>
                <w:sz w:val="11"/>
              </w:rPr>
              <w:t>Input and data integrity</w:t>
            </w:r>
          </w:p>
        </w:tc>
        <w:tc>
          <w:tcPr>
            <w:tcW w:type="dxa" w:w="5151"/>
            <w:vAlign w:val="top"/>
          </w:tcPr>
          <w:p>
            <w:pPr>
              <w:spacing w:after="0"/>
            </w:pPr>
            <w:r>
              <w:rPr>
                <w:sz w:val="11"/>
              </w:rPr>
              <w:t>Client text is treated as data, not executable markup/code; render/export layers encode/escape for their format.</w:t>
            </w:r>
          </w:p>
        </w:tc>
      </w:tr>
      <w:tr>
        <w:trPr>
          <w:cantSplit/>
        </w:trPr>
        <w:tc>
          <w:tcPr>
            <w:tcW w:type="dxa" w:w="5151"/>
            <w:vAlign w:val="top"/>
          </w:tcPr>
          <w:p>
            <w:pPr>
              <w:spacing w:after="0"/>
            </w:pPr>
            <w:r>
              <w:rPr>
                <w:sz w:val="11"/>
              </w:rPr>
              <w:t>SEC-D058</w:t>
            </w:r>
          </w:p>
        </w:tc>
        <w:tc>
          <w:tcPr>
            <w:tcW w:type="dxa" w:w="5151"/>
            <w:vAlign w:val="top"/>
          </w:tcPr>
          <w:p>
            <w:pPr>
              <w:spacing w:after="0"/>
            </w:pPr>
            <w:r>
              <w:rPr>
                <w:sz w:val="11"/>
              </w:rPr>
              <w:t>Input and data integrity</w:t>
            </w:r>
          </w:p>
        </w:tc>
        <w:tc>
          <w:tcPr>
            <w:tcW w:type="dxa" w:w="5151"/>
            <w:vAlign w:val="top"/>
          </w:tcPr>
          <w:p>
            <w:pPr>
              <w:spacing w:after="0"/>
            </w:pPr>
            <w:r>
              <w:rPr>
                <w:sz w:val="11"/>
              </w:rPr>
              <w:t>PHOTO becomes official Evidence only after canonical JPEG processing and MIME/size/SHA-256 verification defined by Doc15.</w:t>
            </w:r>
          </w:p>
        </w:tc>
      </w:tr>
      <w:tr>
        <w:trPr>
          <w:cantSplit/>
        </w:trPr>
        <w:tc>
          <w:tcPr>
            <w:tcW w:type="dxa" w:w="5151"/>
            <w:vAlign w:val="top"/>
          </w:tcPr>
          <w:p>
            <w:pPr>
              <w:spacing w:after="0"/>
            </w:pPr>
            <w:r>
              <w:rPr>
                <w:sz w:val="11"/>
              </w:rPr>
              <w:t>SEC-D059</w:t>
            </w:r>
          </w:p>
        </w:tc>
        <w:tc>
          <w:tcPr>
            <w:tcW w:type="dxa" w:w="5151"/>
            <w:vAlign w:val="top"/>
          </w:tcPr>
          <w:p>
            <w:pPr>
              <w:spacing w:after="0"/>
            </w:pPr>
            <w:r>
              <w:rPr>
                <w:sz w:val="11"/>
              </w:rPr>
              <w:t>Input and data integrity</w:t>
            </w:r>
          </w:p>
        </w:tc>
        <w:tc>
          <w:tcPr>
            <w:tcW w:type="dxa" w:w="5151"/>
            <w:vAlign w:val="top"/>
          </w:tcPr>
          <w:p>
            <w:pPr>
              <w:spacing w:after="0"/>
            </w:pPr>
            <w:r>
              <w:rPr>
                <w:sz w:val="11"/>
              </w:rPr>
              <w:t>Offline/sync payloads cannot bypass immutability, history or authorization rules.</w:t>
            </w:r>
          </w:p>
        </w:tc>
      </w:tr>
      <w:tr>
        <w:trPr>
          <w:cantSplit/>
        </w:trPr>
        <w:tc>
          <w:tcPr>
            <w:tcW w:type="dxa" w:w="5151"/>
            <w:vAlign w:val="top"/>
          </w:tcPr>
          <w:p>
            <w:pPr>
              <w:spacing w:after="0"/>
            </w:pPr>
            <w:r>
              <w:rPr>
                <w:sz w:val="11"/>
              </w:rPr>
              <w:t>SEC-D060</w:t>
            </w:r>
          </w:p>
        </w:tc>
        <w:tc>
          <w:tcPr>
            <w:tcW w:type="dxa" w:w="5151"/>
            <w:vAlign w:val="top"/>
          </w:tcPr>
          <w:p>
            <w:pPr>
              <w:spacing w:after="0"/>
            </w:pPr>
            <w:r>
              <w:rPr>
                <w:sz w:val="11"/>
              </w:rPr>
              <w:t>Input and data integrity</w:t>
            </w:r>
          </w:p>
        </w:tc>
        <w:tc>
          <w:tcPr>
            <w:tcW w:type="dxa" w:w="5151"/>
            <w:vAlign w:val="top"/>
          </w:tcPr>
          <w:p>
            <w:pPr>
              <w:spacing w:after="0"/>
            </w:pPr>
            <w:r>
              <w:rPr>
                <w:sz w:val="11"/>
              </w:rPr>
              <w:t>Conflict resolution provides no force-overwrite and cannot turn stale local state into authoritative state.</w:t>
            </w:r>
          </w:p>
        </w:tc>
      </w:tr>
      <w:tr>
        <w:trPr>
          <w:cantSplit/>
        </w:trPr>
        <w:tc>
          <w:tcPr>
            <w:tcW w:type="dxa" w:w="5151"/>
            <w:vAlign w:val="top"/>
          </w:tcPr>
          <w:p>
            <w:pPr>
              <w:spacing w:after="0"/>
            </w:pPr>
            <w:r>
              <w:rPr>
                <w:sz w:val="11"/>
              </w:rPr>
              <w:t>SEC-D061</w:t>
            </w:r>
          </w:p>
        </w:tc>
        <w:tc>
          <w:tcPr>
            <w:tcW w:type="dxa" w:w="5151"/>
            <w:vAlign w:val="top"/>
          </w:tcPr>
          <w:p>
            <w:pPr>
              <w:spacing w:after="0"/>
            </w:pPr>
            <w:r>
              <w:rPr>
                <w:sz w:val="11"/>
              </w:rPr>
              <w:t>Security and authentication audit events</w:t>
            </w:r>
          </w:p>
        </w:tc>
        <w:tc>
          <w:tcPr>
            <w:tcW w:type="dxa" w:w="5151"/>
            <w:vAlign w:val="top"/>
          </w:tcPr>
          <w:p>
            <w:pPr>
              <w:spacing w:after="0"/>
            </w:pPr>
            <w:r>
              <w:rPr>
                <w:sz w:val="11"/>
              </w:rPr>
              <w:t>Only security-relevant events with accountability/detection value are audited; routine technical requests do not become AuditEvents.</w:t>
            </w:r>
          </w:p>
        </w:tc>
      </w:tr>
      <w:tr>
        <w:trPr>
          <w:cantSplit/>
        </w:trPr>
        <w:tc>
          <w:tcPr>
            <w:tcW w:type="dxa" w:w="5151"/>
            <w:vAlign w:val="top"/>
          </w:tcPr>
          <w:p>
            <w:pPr>
              <w:spacing w:after="0"/>
            </w:pPr>
            <w:r>
              <w:rPr>
                <w:sz w:val="11"/>
              </w:rPr>
              <w:t>SEC-D062</w:t>
            </w:r>
          </w:p>
        </w:tc>
        <w:tc>
          <w:tcPr>
            <w:tcW w:type="dxa" w:w="5151"/>
            <w:vAlign w:val="top"/>
          </w:tcPr>
          <w:p>
            <w:pPr>
              <w:spacing w:after="0"/>
            </w:pPr>
            <w:r>
              <w:rPr>
                <w:sz w:val="11"/>
              </w:rPr>
              <w:t>Security and authentication audit events</w:t>
            </w:r>
          </w:p>
        </w:tc>
        <w:tc>
          <w:tcPr>
            <w:tcW w:type="dxa" w:w="5151"/>
            <w:vAlign w:val="top"/>
          </w:tcPr>
          <w:p>
            <w:pPr>
              <w:spacing w:after="0"/>
            </w:pPr>
            <w:r>
              <w:rPr>
                <w:sz w:val="11"/>
              </w:rPr>
              <w:t>Successful Sign In generates a security AuditEvent without storing password/token material.</w:t>
            </w:r>
          </w:p>
        </w:tc>
      </w:tr>
      <w:tr>
        <w:trPr>
          <w:cantSplit/>
        </w:trPr>
        <w:tc>
          <w:tcPr>
            <w:tcW w:type="dxa" w:w="5151"/>
            <w:vAlign w:val="top"/>
          </w:tcPr>
          <w:p>
            <w:pPr>
              <w:spacing w:after="0"/>
            </w:pPr>
            <w:r>
              <w:rPr>
                <w:sz w:val="11"/>
              </w:rPr>
              <w:t>SEC-D063</w:t>
            </w:r>
          </w:p>
        </w:tc>
        <w:tc>
          <w:tcPr>
            <w:tcW w:type="dxa" w:w="5151"/>
            <w:vAlign w:val="top"/>
          </w:tcPr>
          <w:p>
            <w:pPr>
              <w:spacing w:after="0"/>
            </w:pPr>
            <w:r>
              <w:rPr>
                <w:sz w:val="11"/>
              </w:rPr>
              <w:t>Security and authentication audit events</w:t>
            </w:r>
          </w:p>
        </w:tc>
        <w:tc>
          <w:tcPr>
            <w:tcW w:type="dxa" w:w="5151"/>
            <w:vAlign w:val="top"/>
          </w:tcPr>
          <w:p>
            <w:pPr>
              <w:spacing w:after="0"/>
            </w:pPr>
            <w:r>
              <w:rPr>
                <w:sz w:val="11"/>
              </w:rPr>
              <w:t>Failed Sign In is recorded in security telemetry for abuse detection; a business AuditEvent is not mandatory for every wrong password.</w:t>
            </w:r>
          </w:p>
        </w:tc>
      </w:tr>
      <w:tr>
        <w:trPr>
          <w:cantSplit/>
        </w:trPr>
        <w:tc>
          <w:tcPr>
            <w:tcW w:type="dxa" w:w="5151"/>
            <w:vAlign w:val="top"/>
          </w:tcPr>
          <w:p>
            <w:pPr>
              <w:spacing w:after="0"/>
            </w:pPr>
            <w:r>
              <w:rPr>
                <w:sz w:val="11"/>
              </w:rPr>
              <w:t>SEC-D064</w:t>
            </w:r>
          </w:p>
        </w:tc>
        <w:tc>
          <w:tcPr>
            <w:tcW w:type="dxa" w:w="5151"/>
            <w:vAlign w:val="top"/>
          </w:tcPr>
          <w:p>
            <w:pPr>
              <w:spacing w:after="0"/>
            </w:pPr>
            <w:r>
              <w:rPr>
                <w:sz w:val="11"/>
              </w:rPr>
              <w:t>Security and authentication audit events</w:t>
            </w:r>
          </w:p>
        </w:tc>
        <w:tc>
          <w:tcPr>
            <w:tcW w:type="dxa" w:w="5151"/>
            <w:vAlign w:val="top"/>
          </w:tcPr>
          <w:p>
            <w:pPr>
              <w:spacing w:after="0"/>
            </w:pPr>
            <w:r>
              <w:rPr>
                <w:sz w:val="11"/>
              </w:rPr>
              <w:t>Sign Out, completed password reset, User enable/disable, Membership disable/reactivate and role change are auditable.</w:t>
            </w:r>
          </w:p>
        </w:tc>
      </w:tr>
      <w:tr>
        <w:trPr>
          <w:cantSplit/>
        </w:trPr>
        <w:tc>
          <w:tcPr>
            <w:tcW w:type="dxa" w:w="5151"/>
            <w:vAlign w:val="top"/>
          </w:tcPr>
          <w:p>
            <w:pPr>
              <w:spacing w:after="0"/>
            </w:pPr>
            <w:r>
              <w:rPr>
                <w:sz w:val="11"/>
              </w:rPr>
              <w:t>SEC-D065</w:t>
            </w:r>
          </w:p>
        </w:tc>
        <w:tc>
          <w:tcPr>
            <w:tcW w:type="dxa" w:w="5151"/>
            <w:vAlign w:val="top"/>
          </w:tcPr>
          <w:p>
            <w:pPr>
              <w:spacing w:after="0"/>
            </w:pPr>
            <w:r>
              <w:rPr>
                <w:sz w:val="11"/>
              </w:rPr>
              <w:t>Security and authentication audit events</w:t>
            </w:r>
          </w:p>
        </w:tc>
        <w:tc>
          <w:tcPr>
            <w:tcW w:type="dxa" w:w="5151"/>
            <w:vAlign w:val="top"/>
          </w:tcPr>
          <w:p>
            <w:pPr>
              <w:spacing w:after="0"/>
            </w:pPr>
            <w:r>
              <w:rPr>
                <w:sz w:val="11"/>
              </w:rPr>
              <w:t>Sensitive authorization denials may generate security telemetry/event; routine UI denials do not pollute Audit Trail.</w:t>
            </w:r>
          </w:p>
        </w:tc>
      </w:tr>
      <w:tr>
        <w:trPr>
          <w:cantSplit/>
        </w:trPr>
        <w:tc>
          <w:tcPr>
            <w:tcW w:type="dxa" w:w="5151"/>
            <w:vAlign w:val="top"/>
          </w:tcPr>
          <w:p>
            <w:pPr>
              <w:spacing w:after="0"/>
            </w:pPr>
            <w:r>
              <w:rPr>
                <w:sz w:val="11"/>
              </w:rPr>
              <w:t>SEC-D066</w:t>
            </w:r>
          </w:p>
        </w:tc>
        <w:tc>
          <w:tcPr>
            <w:tcW w:type="dxa" w:w="5151"/>
            <w:vAlign w:val="top"/>
          </w:tcPr>
          <w:p>
            <w:pPr>
              <w:spacing w:after="0"/>
            </w:pPr>
            <w:r>
              <w:rPr>
                <w:sz w:val="11"/>
              </w:rPr>
              <w:t>Security and authentication audit events</w:t>
            </w:r>
          </w:p>
        </w:tc>
        <w:tc>
          <w:tcPr>
            <w:tcW w:type="dxa" w:w="5151"/>
            <w:vAlign w:val="top"/>
          </w:tcPr>
          <w:p>
            <w:pPr>
              <w:spacing w:after="0"/>
            </w:pPr>
            <w:r>
              <w:rPr>
                <w:sz w:val="11"/>
              </w:rPr>
              <w:t>Campaign Team changes, Reset Validation, Issue resolution/reopen, Campaign Close, master-data lifecycle changes and report/export events remain auditable under their frozen contracts.</w:t>
            </w:r>
          </w:p>
        </w:tc>
      </w:tr>
      <w:tr>
        <w:trPr>
          <w:cantSplit/>
        </w:trPr>
        <w:tc>
          <w:tcPr>
            <w:tcW w:type="dxa" w:w="5151"/>
            <w:vAlign w:val="top"/>
          </w:tcPr>
          <w:p>
            <w:pPr>
              <w:spacing w:after="0"/>
            </w:pPr>
            <w:r>
              <w:rPr>
                <w:sz w:val="11"/>
              </w:rPr>
              <w:t>SEC-D067</w:t>
            </w:r>
          </w:p>
        </w:tc>
        <w:tc>
          <w:tcPr>
            <w:tcW w:type="dxa" w:w="5151"/>
            <w:vAlign w:val="top"/>
          </w:tcPr>
          <w:p>
            <w:pPr>
              <w:spacing w:after="0"/>
            </w:pPr>
            <w:r>
              <w:rPr>
                <w:sz w:val="11"/>
              </w:rPr>
              <w:t>Security and authentication audit events</w:t>
            </w:r>
          </w:p>
        </w:tc>
        <w:tc>
          <w:tcPr>
            <w:tcW w:type="dxa" w:w="5151"/>
            <w:vAlign w:val="top"/>
          </w:tcPr>
          <w:p>
            <w:pPr>
              <w:spacing w:after="0"/>
            </w:pPr>
            <w:r>
              <w:rPr>
                <w:sz w:val="11"/>
              </w:rPr>
              <w:t>AuditEvent preserves stable actor identity and frozen actor display information where history requires it.</w:t>
            </w:r>
          </w:p>
        </w:tc>
      </w:tr>
      <w:tr>
        <w:trPr>
          <w:cantSplit/>
        </w:trPr>
        <w:tc>
          <w:tcPr>
            <w:tcW w:type="dxa" w:w="5151"/>
            <w:vAlign w:val="top"/>
          </w:tcPr>
          <w:p>
            <w:pPr>
              <w:spacing w:after="0"/>
            </w:pPr>
            <w:r>
              <w:rPr>
                <w:sz w:val="11"/>
              </w:rPr>
              <w:t>SEC-D068</w:t>
            </w:r>
          </w:p>
        </w:tc>
        <w:tc>
          <w:tcPr>
            <w:tcW w:type="dxa" w:w="5151"/>
            <w:vAlign w:val="top"/>
          </w:tcPr>
          <w:p>
            <w:pPr>
              <w:spacing w:after="0"/>
            </w:pPr>
            <w:r>
              <w:rPr>
                <w:sz w:val="11"/>
              </w:rPr>
              <w:t>Security and authentication audit events</w:t>
            </w:r>
          </w:p>
        </w:tc>
        <w:tc>
          <w:tcPr>
            <w:tcW w:type="dxa" w:w="5151"/>
            <w:vAlign w:val="top"/>
          </w:tcPr>
          <w:p>
            <w:pPr>
              <w:spacing w:after="0"/>
            </w:pPr>
            <w:r>
              <w:rPr>
                <w:sz w:val="11"/>
              </w:rPr>
              <w:t>actorUserId may be null only for SYSTEM; system/source context must identify the actor context.</w:t>
            </w:r>
          </w:p>
        </w:tc>
      </w:tr>
      <w:tr>
        <w:trPr>
          <w:cantSplit/>
        </w:trPr>
        <w:tc>
          <w:tcPr>
            <w:tcW w:type="dxa" w:w="5151"/>
            <w:vAlign w:val="top"/>
          </w:tcPr>
          <w:p>
            <w:pPr>
              <w:spacing w:after="0"/>
            </w:pPr>
            <w:r>
              <w:rPr>
                <w:sz w:val="11"/>
              </w:rPr>
              <w:t>SEC-D069</w:t>
            </w:r>
          </w:p>
        </w:tc>
        <w:tc>
          <w:tcPr>
            <w:tcW w:type="dxa" w:w="5151"/>
            <w:vAlign w:val="top"/>
          </w:tcPr>
          <w:p>
            <w:pPr>
              <w:spacing w:after="0"/>
            </w:pPr>
            <w:r>
              <w:rPr>
                <w:sz w:val="11"/>
              </w:rPr>
              <w:t>Security and authentication audit events</w:t>
            </w:r>
          </w:p>
        </w:tc>
        <w:tc>
          <w:tcPr>
            <w:tcW w:type="dxa" w:w="5151"/>
            <w:vAlign w:val="top"/>
          </w:tcPr>
          <w:p>
            <w:pPr>
              <w:spacing w:after="0"/>
            </w:pPr>
            <w:r>
              <w:rPr>
                <w:sz w:val="11"/>
              </w:rPr>
              <w:t>Audit records never contain passwords, access/refresh/reset tokens, Authorization headers, DB/object-store credentials or cryptographic keys.</w:t>
            </w:r>
          </w:p>
        </w:tc>
      </w:tr>
      <w:tr>
        <w:trPr>
          <w:cantSplit/>
        </w:trPr>
        <w:tc>
          <w:tcPr>
            <w:tcW w:type="dxa" w:w="5151"/>
            <w:vAlign w:val="top"/>
          </w:tcPr>
          <w:p>
            <w:pPr>
              <w:spacing w:after="0"/>
            </w:pPr>
            <w:r>
              <w:rPr>
                <w:sz w:val="11"/>
              </w:rPr>
              <w:t>SEC-D070</w:t>
            </w:r>
          </w:p>
        </w:tc>
        <w:tc>
          <w:tcPr>
            <w:tcW w:type="dxa" w:w="5151"/>
            <w:vAlign w:val="top"/>
          </w:tcPr>
          <w:p>
            <w:pPr>
              <w:spacing w:after="0"/>
            </w:pPr>
            <w:r>
              <w:rPr>
                <w:sz w:val="11"/>
              </w:rPr>
              <w:t>Security and authentication audit events</w:t>
            </w:r>
          </w:p>
        </w:tc>
        <w:tc>
          <w:tcPr>
            <w:tcW w:type="dxa" w:w="5151"/>
            <w:vAlign w:val="top"/>
          </w:tcPr>
          <w:p>
            <w:pPr>
              <w:spacing w:after="0"/>
            </w:pPr>
            <w:r>
              <w:rPr>
                <w:sz w:val="11"/>
              </w:rPr>
              <w:t>PHOTO bytes and other binary payloads never enter AuditEvent; only approved identifiers/metadata may appear.</w:t>
            </w:r>
          </w:p>
        </w:tc>
      </w:tr>
      <w:tr>
        <w:trPr>
          <w:cantSplit/>
        </w:trPr>
        <w:tc>
          <w:tcPr>
            <w:tcW w:type="dxa" w:w="5151"/>
            <w:vAlign w:val="top"/>
          </w:tcPr>
          <w:p>
            <w:pPr>
              <w:spacing w:after="0"/>
            </w:pPr>
            <w:r>
              <w:rPr>
                <w:sz w:val="11"/>
              </w:rPr>
              <w:t>SEC-D071</w:t>
            </w:r>
          </w:p>
        </w:tc>
        <w:tc>
          <w:tcPr>
            <w:tcW w:type="dxa" w:w="5151"/>
            <w:vAlign w:val="top"/>
          </w:tcPr>
          <w:p>
            <w:pPr>
              <w:spacing w:after="0"/>
            </w:pPr>
            <w:r>
              <w:rPr>
                <w:sz w:val="11"/>
              </w:rPr>
              <w:t>Security and authentication audit events</w:t>
            </w:r>
          </w:p>
        </w:tc>
        <w:tc>
          <w:tcPr>
            <w:tcW w:type="dxa" w:w="5151"/>
            <w:vAlign w:val="top"/>
          </w:tcPr>
          <w:p>
            <w:pPr>
              <w:spacing w:after="0"/>
            </w:pPr>
            <w:r>
              <w:rPr>
                <w:sz w:val="11"/>
              </w:rPr>
              <w:t>Before/after values are limited to relevant fields and redact secret/sensitive fields.</w:t>
            </w:r>
          </w:p>
        </w:tc>
      </w:tr>
      <w:tr>
        <w:trPr>
          <w:cantSplit/>
        </w:trPr>
        <w:tc>
          <w:tcPr>
            <w:tcW w:type="dxa" w:w="5151"/>
            <w:vAlign w:val="top"/>
          </w:tcPr>
          <w:p>
            <w:pPr>
              <w:spacing w:after="0"/>
            </w:pPr>
            <w:r>
              <w:rPr>
                <w:sz w:val="11"/>
              </w:rPr>
              <w:t>SEC-D072</w:t>
            </w:r>
          </w:p>
        </w:tc>
        <w:tc>
          <w:tcPr>
            <w:tcW w:type="dxa" w:w="5151"/>
            <w:vAlign w:val="top"/>
          </w:tcPr>
          <w:p>
            <w:pPr>
              <w:spacing w:after="0"/>
            </w:pPr>
            <w:r>
              <w:rPr>
                <w:sz w:val="11"/>
              </w:rPr>
              <w:t>Security and authentication audit events</w:t>
            </w:r>
          </w:p>
        </w:tc>
        <w:tc>
          <w:tcPr>
            <w:tcW w:type="dxa" w:w="5151"/>
            <w:vAlign w:val="top"/>
          </w:tcPr>
          <w:p>
            <w:pPr>
              <w:spacing w:after="0"/>
            </w:pPr>
            <w:r>
              <w:rPr>
                <w:sz w:val="11"/>
              </w:rPr>
              <w:t>AuditEvent is append-only; arbitrary correction/deletion of historical events is forbidden.</w:t>
            </w:r>
          </w:p>
        </w:tc>
      </w:tr>
      <w:tr>
        <w:trPr>
          <w:cantSplit/>
        </w:trPr>
        <w:tc>
          <w:tcPr>
            <w:tcW w:type="dxa" w:w="5151"/>
            <w:vAlign w:val="top"/>
          </w:tcPr>
          <w:p>
            <w:pPr>
              <w:spacing w:after="0"/>
            </w:pPr>
            <w:r>
              <w:rPr>
                <w:sz w:val="11"/>
              </w:rPr>
              <w:t>SEC-D073</w:t>
            </w:r>
          </w:p>
        </w:tc>
        <w:tc>
          <w:tcPr>
            <w:tcW w:type="dxa" w:w="5151"/>
            <w:vAlign w:val="top"/>
          </w:tcPr>
          <w:p>
            <w:pPr>
              <w:spacing w:after="0"/>
            </w:pPr>
            <w:r>
              <w:rPr>
                <w:sz w:val="11"/>
              </w:rPr>
              <w:t>Security and authentication audit events</w:t>
            </w:r>
          </w:p>
        </w:tc>
        <w:tc>
          <w:tcPr>
            <w:tcW w:type="dxa" w:w="5151"/>
            <w:vAlign w:val="top"/>
          </w:tcPr>
          <w:p>
            <w:pPr>
              <w:spacing w:after="0"/>
            </w:pPr>
            <w:r>
              <w:rPr>
                <w:sz w:val="11"/>
              </w:rPr>
              <w:t>Server-accepted actions use server-authoritative UTC occurredAt; offline event context may preserve client occurrence separately without falsifying server acceptance time.</w:t>
            </w:r>
          </w:p>
        </w:tc>
      </w:tr>
      <w:tr>
        <w:trPr>
          <w:cantSplit/>
        </w:trPr>
        <w:tc>
          <w:tcPr>
            <w:tcW w:type="dxa" w:w="5151"/>
            <w:vAlign w:val="top"/>
          </w:tcPr>
          <w:p>
            <w:pPr>
              <w:spacing w:after="0"/>
            </w:pPr>
            <w:r>
              <w:rPr>
                <w:sz w:val="11"/>
              </w:rPr>
              <w:t>SEC-D074</w:t>
            </w:r>
          </w:p>
        </w:tc>
        <w:tc>
          <w:tcPr>
            <w:tcW w:type="dxa" w:w="5151"/>
            <w:vAlign w:val="top"/>
          </w:tcPr>
          <w:p>
            <w:pPr>
              <w:spacing w:after="0"/>
            </w:pPr>
            <w:r>
              <w:rPr>
                <w:sz w:val="11"/>
              </w:rPr>
              <w:t>Security and authentication audit events</w:t>
            </w:r>
          </w:p>
        </w:tc>
        <w:tc>
          <w:tcPr>
            <w:tcW w:type="dxa" w:w="5151"/>
            <w:vAlign w:val="top"/>
          </w:tcPr>
          <w:p>
            <w:pPr>
              <w:spacing w:after="0"/>
            </w:pPr>
            <w:r>
              <w:rPr>
                <w:sz w:val="11"/>
              </w:rPr>
              <w:t>Correlation IDs may connect requests, AuditEvent and telemetry but contain no PII and are not credentials.</w:t>
            </w:r>
          </w:p>
        </w:tc>
      </w:tr>
      <w:tr>
        <w:trPr>
          <w:cantSplit/>
        </w:trPr>
        <w:tc>
          <w:tcPr>
            <w:tcW w:type="dxa" w:w="5151"/>
            <w:vAlign w:val="top"/>
          </w:tcPr>
          <w:p>
            <w:pPr>
              <w:spacing w:after="0"/>
            </w:pPr>
            <w:r>
              <w:rPr>
                <w:sz w:val="11"/>
              </w:rPr>
              <w:t>SEC-D075</w:t>
            </w:r>
          </w:p>
        </w:tc>
        <w:tc>
          <w:tcPr>
            <w:tcW w:type="dxa" w:w="5151"/>
            <w:vAlign w:val="top"/>
          </w:tcPr>
          <w:p>
            <w:pPr>
              <w:spacing w:after="0"/>
            </w:pPr>
            <w:r>
              <w:rPr>
                <w:sz w:val="11"/>
              </w:rPr>
              <w:t>Privacy and personal-data protection</w:t>
            </w:r>
          </w:p>
        </w:tc>
        <w:tc>
          <w:tcPr>
            <w:tcW w:type="dxa" w:w="5151"/>
            <w:vAlign w:val="top"/>
          </w:tcPr>
          <w:p>
            <w:pPr>
              <w:spacing w:after="0"/>
            </w:pPr>
            <w:r>
              <w:rPr>
                <w:sz w:val="11"/>
              </w:rPr>
              <w:t>V6 applies data minimization: collect only data necessary for authentication, authorization, inventory workflow, auditability, reporting and support/operations.</w:t>
            </w:r>
          </w:p>
        </w:tc>
      </w:tr>
      <w:tr>
        <w:trPr>
          <w:cantSplit/>
        </w:trPr>
        <w:tc>
          <w:tcPr>
            <w:tcW w:type="dxa" w:w="5151"/>
            <w:vAlign w:val="top"/>
          </w:tcPr>
          <w:p>
            <w:pPr>
              <w:spacing w:after="0"/>
            </w:pPr>
            <w:r>
              <w:rPr>
                <w:sz w:val="11"/>
              </w:rPr>
              <w:t>SEC-D076</w:t>
            </w:r>
          </w:p>
        </w:tc>
        <w:tc>
          <w:tcPr>
            <w:tcW w:type="dxa" w:w="5151"/>
            <w:vAlign w:val="top"/>
          </w:tcPr>
          <w:p>
            <w:pPr>
              <w:spacing w:after="0"/>
            </w:pPr>
            <w:r>
              <w:rPr>
                <w:sz w:val="11"/>
              </w:rPr>
              <w:t>Privacy and personal-data protection</w:t>
            </w:r>
          </w:p>
        </w:tc>
        <w:tc>
          <w:tcPr>
            <w:tcW w:type="dxa" w:w="5151"/>
            <w:vAlign w:val="top"/>
          </w:tcPr>
          <w:p>
            <w:pPr>
              <w:spacing w:after="0"/>
            </w:pPr>
            <w:r>
              <w:rPr>
                <w:sz w:val="11"/>
              </w:rPr>
              <w:t>Principal personal data includes Full Name, Email, OrganizationMembership/Role, Campaign Team association and actor attribution in workflow/audit history.</w:t>
            </w:r>
          </w:p>
        </w:tc>
      </w:tr>
      <w:tr>
        <w:trPr>
          <w:cantSplit/>
        </w:trPr>
        <w:tc>
          <w:tcPr>
            <w:tcW w:type="dxa" w:w="5151"/>
            <w:vAlign w:val="top"/>
          </w:tcPr>
          <w:p>
            <w:pPr>
              <w:spacing w:after="0"/>
            </w:pPr>
            <w:r>
              <w:rPr>
                <w:sz w:val="11"/>
              </w:rPr>
              <w:t>SEC-D077</w:t>
            </w:r>
          </w:p>
        </w:tc>
        <w:tc>
          <w:tcPr>
            <w:tcW w:type="dxa" w:w="5151"/>
            <w:vAlign w:val="top"/>
          </w:tcPr>
          <w:p>
            <w:pPr>
              <w:spacing w:after="0"/>
            </w:pPr>
            <w:r>
              <w:rPr>
                <w:sz w:val="11"/>
              </w:rPr>
              <w:t>Privacy and personal-data protection</w:t>
            </w:r>
          </w:p>
        </w:tc>
        <w:tc>
          <w:tcPr>
            <w:tcW w:type="dxa" w:w="5151"/>
            <w:vAlign w:val="top"/>
          </w:tcPr>
          <w:p>
            <w:pPr>
              <w:spacing w:after="0"/>
            </w:pPr>
            <w:r>
              <w:rPr>
                <w:sz w:val="11"/>
              </w:rPr>
              <w:t>V6 does not require date of birth, sex, personal address, personal phone number, biometric data or precise location.</w:t>
            </w:r>
          </w:p>
        </w:tc>
      </w:tr>
      <w:tr>
        <w:trPr>
          <w:cantSplit/>
        </w:trPr>
        <w:tc>
          <w:tcPr>
            <w:tcW w:type="dxa" w:w="5151"/>
            <w:vAlign w:val="top"/>
          </w:tcPr>
          <w:p>
            <w:pPr>
              <w:spacing w:after="0"/>
            </w:pPr>
            <w:r>
              <w:rPr>
                <w:sz w:val="11"/>
              </w:rPr>
              <w:t>SEC-D078</w:t>
            </w:r>
          </w:p>
        </w:tc>
        <w:tc>
          <w:tcPr>
            <w:tcW w:type="dxa" w:w="5151"/>
            <w:vAlign w:val="top"/>
          </w:tcPr>
          <w:p>
            <w:pPr>
              <w:spacing w:after="0"/>
            </w:pPr>
            <w:r>
              <w:rPr>
                <w:sz w:val="11"/>
              </w:rPr>
              <w:t>Privacy and personal-data protection</w:t>
            </w:r>
          </w:p>
        </w:tc>
        <w:tc>
          <w:tcPr>
            <w:tcW w:type="dxa" w:w="5151"/>
            <w:vAlign w:val="top"/>
          </w:tcPr>
          <w:p>
            <w:pPr>
              <w:spacing w:after="0"/>
            </w:pPr>
            <w:r>
              <w:rPr>
                <w:sz w:val="11"/>
              </w:rPr>
              <w:t>GPS/location permission is not required for V6 Evidence and is not collected automatically.</w:t>
            </w:r>
          </w:p>
        </w:tc>
      </w:tr>
      <w:tr>
        <w:trPr>
          <w:cantSplit/>
        </w:trPr>
        <w:tc>
          <w:tcPr>
            <w:tcW w:type="dxa" w:w="5151"/>
            <w:vAlign w:val="top"/>
          </w:tcPr>
          <w:p>
            <w:pPr>
              <w:spacing w:after="0"/>
            </w:pPr>
            <w:r>
              <w:rPr>
                <w:sz w:val="11"/>
              </w:rPr>
              <w:t>SEC-D079</w:t>
            </w:r>
          </w:p>
        </w:tc>
        <w:tc>
          <w:tcPr>
            <w:tcW w:type="dxa" w:w="5151"/>
            <w:vAlign w:val="top"/>
          </w:tcPr>
          <w:p>
            <w:pPr>
              <w:spacing w:after="0"/>
            </w:pPr>
            <w:r>
              <w:rPr>
                <w:sz w:val="11"/>
              </w:rPr>
              <w:t>Privacy and personal-data protection</w:t>
            </w:r>
          </w:p>
        </w:tc>
        <w:tc>
          <w:tcPr>
            <w:tcW w:type="dxa" w:w="5151"/>
            <w:vAlign w:val="top"/>
          </w:tcPr>
          <w:p>
            <w:pPr>
              <w:spacing w:after="0"/>
            </w:pPr>
            <w:r>
              <w:rPr>
                <w:sz w:val="11"/>
              </w:rPr>
              <w:t>DeviceInstallation uses an app-generated installation UUID; IMEI, hardware serial and advertising ID are excluded.</w:t>
            </w:r>
          </w:p>
        </w:tc>
      </w:tr>
      <w:tr>
        <w:trPr>
          <w:cantSplit/>
        </w:trPr>
        <w:tc>
          <w:tcPr>
            <w:tcW w:type="dxa" w:w="5151"/>
            <w:vAlign w:val="top"/>
          </w:tcPr>
          <w:p>
            <w:pPr>
              <w:spacing w:after="0"/>
            </w:pPr>
            <w:r>
              <w:rPr>
                <w:sz w:val="11"/>
              </w:rPr>
              <w:t>SEC-D080</w:t>
            </w:r>
          </w:p>
        </w:tc>
        <w:tc>
          <w:tcPr>
            <w:tcW w:type="dxa" w:w="5151"/>
            <w:vAlign w:val="top"/>
          </w:tcPr>
          <w:p>
            <w:pPr>
              <w:spacing w:after="0"/>
            </w:pPr>
            <w:r>
              <w:rPr>
                <w:sz w:val="11"/>
              </w:rPr>
              <w:t>Privacy and personal-data protection</w:t>
            </w:r>
          </w:p>
        </w:tc>
        <w:tc>
          <w:tcPr>
            <w:tcW w:type="dxa" w:w="5151"/>
            <w:vAlign w:val="top"/>
          </w:tcPr>
          <w:p>
            <w:pPr>
              <w:spacing w:after="0"/>
            </w:pPr>
            <w:r>
              <w:rPr>
                <w:sz w:val="11"/>
              </w:rPr>
              <w:t>PHOTO normalization removes unnecessary EXIF; GPS/device model/serial metadata does not become business Evidence metadata.</w:t>
            </w:r>
          </w:p>
        </w:tc>
      </w:tr>
      <w:tr>
        <w:trPr>
          <w:cantSplit/>
        </w:trPr>
        <w:tc>
          <w:tcPr>
            <w:tcW w:type="dxa" w:w="5151"/>
            <w:vAlign w:val="top"/>
          </w:tcPr>
          <w:p>
            <w:pPr>
              <w:spacing w:after="0"/>
            </w:pPr>
            <w:r>
              <w:rPr>
                <w:sz w:val="11"/>
              </w:rPr>
              <w:t>SEC-D081</w:t>
            </w:r>
          </w:p>
        </w:tc>
        <w:tc>
          <w:tcPr>
            <w:tcW w:type="dxa" w:w="5151"/>
            <w:vAlign w:val="top"/>
          </w:tcPr>
          <w:p>
            <w:pPr>
              <w:spacing w:after="0"/>
            </w:pPr>
            <w:r>
              <w:rPr>
                <w:sz w:val="11"/>
              </w:rPr>
              <w:t>Privacy and personal-data protection</w:t>
            </w:r>
          </w:p>
        </w:tc>
        <w:tc>
          <w:tcPr>
            <w:tcW w:type="dxa" w:w="5151"/>
            <w:vAlign w:val="top"/>
          </w:tcPr>
          <w:p>
            <w:pPr>
              <w:spacing w:after="0"/>
            </w:pPr>
            <w:r>
              <w:rPr>
                <w:sz w:val="11"/>
              </w:rPr>
              <w:t>Original filesystem paths are not stored as business metadata.</w:t>
            </w:r>
          </w:p>
        </w:tc>
      </w:tr>
      <w:tr>
        <w:trPr>
          <w:cantSplit/>
        </w:trPr>
        <w:tc>
          <w:tcPr>
            <w:tcW w:type="dxa" w:w="5151"/>
            <w:vAlign w:val="top"/>
          </w:tcPr>
          <w:p>
            <w:pPr>
              <w:spacing w:after="0"/>
            </w:pPr>
            <w:r>
              <w:rPr>
                <w:sz w:val="11"/>
              </w:rPr>
              <w:t>SEC-D082</w:t>
            </w:r>
          </w:p>
        </w:tc>
        <w:tc>
          <w:tcPr>
            <w:tcW w:type="dxa" w:w="5151"/>
            <w:vAlign w:val="top"/>
          </w:tcPr>
          <w:p>
            <w:pPr>
              <w:spacing w:after="0"/>
            </w:pPr>
            <w:r>
              <w:rPr>
                <w:sz w:val="11"/>
              </w:rPr>
              <w:t>Privacy and personal-data protection</w:t>
            </w:r>
          </w:p>
        </w:tc>
        <w:tc>
          <w:tcPr>
            <w:tcW w:type="dxa" w:w="5151"/>
            <w:vAlign w:val="top"/>
          </w:tcPr>
          <w:p>
            <w:pPr>
              <w:spacing w:after="0"/>
            </w:pPr>
            <w:r>
              <w:rPr>
                <w:sz w:val="11"/>
              </w:rPr>
              <w:t>Disabling a User does not erase historical actor attribution; stable identity and frozen display context remain.</w:t>
            </w:r>
          </w:p>
        </w:tc>
      </w:tr>
      <w:tr>
        <w:trPr>
          <w:cantSplit/>
        </w:trPr>
        <w:tc>
          <w:tcPr>
            <w:tcW w:type="dxa" w:w="5151"/>
            <w:vAlign w:val="top"/>
          </w:tcPr>
          <w:p>
            <w:pPr>
              <w:spacing w:after="0"/>
            </w:pPr>
            <w:r>
              <w:rPr>
                <w:sz w:val="11"/>
              </w:rPr>
              <w:t>SEC-D083</w:t>
            </w:r>
          </w:p>
        </w:tc>
        <w:tc>
          <w:tcPr>
            <w:tcW w:type="dxa" w:w="5151"/>
            <w:vAlign w:val="top"/>
          </w:tcPr>
          <w:p>
            <w:pPr>
              <w:spacing w:after="0"/>
            </w:pPr>
            <w:r>
              <w:rPr>
                <w:sz w:val="11"/>
              </w:rPr>
              <w:t>Privacy and personal-data protection</w:t>
            </w:r>
          </w:p>
        </w:tc>
        <w:tc>
          <w:tcPr>
            <w:tcW w:type="dxa" w:w="5151"/>
            <w:vAlign w:val="top"/>
          </w:tcPr>
          <w:p>
            <w:pPr>
              <w:spacing w:after="0"/>
            </w:pPr>
            <w:r>
              <w:rPr>
                <w:sz w:val="11"/>
              </w:rPr>
              <w:t>Profile data no longer operationally required may follow retention/deletion policy, but retained immutable business/audit attribution is preserved.</w:t>
            </w:r>
          </w:p>
        </w:tc>
      </w:tr>
      <w:tr>
        <w:trPr>
          <w:cantSplit/>
        </w:trPr>
        <w:tc>
          <w:tcPr>
            <w:tcW w:type="dxa" w:w="5151"/>
            <w:vAlign w:val="top"/>
          </w:tcPr>
          <w:p>
            <w:pPr>
              <w:spacing w:after="0"/>
            </w:pPr>
            <w:r>
              <w:rPr>
                <w:sz w:val="11"/>
              </w:rPr>
              <w:t>SEC-D084</w:t>
            </w:r>
          </w:p>
        </w:tc>
        <w:tc>
          <w:tcPr>
            <w:tcW w:type="dxa" w:w="5151"/>
            <w:vAlign w:val="top"/>
          </w:tcPr>
          <w:p>
            <w:pPr>
              <w:spacing w:after="0"/>
            </w:pPr>
            <w:r>
              <w:rPr>
                <w:sz w:val="11"/>
              </w:rPr>
              <w:t>Privacy and personal-data protection</w:t>
            </w:r>
          </w:p>
        </w:tc>
        <w:tc>
          <w:tcPr>
            <w:tcW w:type="dxa" w:w="5151"/>
            <w:vAlign w:val="top"/>
          </w:tcPr>
          <w:p>
            <w:pPr>
              <w:spacing w:after="0"/>
            </w:pPr>
            <w:r>
              <w:rPr>
                <w:sz w:val="11"/>
              </w:rPr>
              <w:t>Tenant data is not used for cross-tenant profiling or advertising in V6.</w:t>
            </w:r>
          </w:p>
        </w:tc>
      </w:tr>
      <w:tr>
        <w:trPr>
          <w:cantSplit/>
        </w:trPr>
        <w:tc>
          <w:tcPr>
            <w:tcW w:type="dxa" w:w="5151"/>
            <w:vAlign w:val="top"/>
          </w:tcPr>
          <w:p>
            <w:pPr>
              <w:spacing w:after="0"/>
            </w:pPr>
            <w:r>
              <w:rPr>
                <w:sz w:val="11"/>
              </w:rPr>
              <w:t>SEC-D085</w:t>
            </w:r>
          </w:p>
        </w:tc>
        <w:tc>
          <w:tcPr>
            <w:tcW w:type="dxa" w:w="5151"/>
            <w:vAlign w:val="top"/>
          </w:tcPr>
          <w:p>
            <w:pPr>
              <w:spacing w:after="0"/>
            </w:pPr>
            <w:r>
              <w:rPr>
                <w:sz w:val="11"/>
              </w:rPr>
              <w:t>Privacy and personal-data protection</w:t>
            </w:r>
          </w:p>
        </w:tc>
        <w:tc>
          <w:tcPr>
            <w:tcW w:type="dxa" w:w="5151"/>
            <w:vAlign w:val="top"/>
          </w:tcPr>
          <w:p>
            <w:pPr>
              <w:spacing w:after="0"/>
            </w:pPr>
            <w:r>
              <w:rPr>
                <w:sz w:val="11"/>
              </w:rPr>
              <w:t>Operational analytics, if introduced, never receive passwords, tokens, Evidence binaries, arbitrary Notes, full reports or unrestricted business payloads.</w:t>
            </w:r>
          </w:p>
        </w:tc>
      </w:tr>
      <w:tr>
        <w:trPr>
          <w:cantSplit/>
        </w:trPr>
        <w:tc>
          <w:tcPr>
            <w:tcW w:type="dxa" w:w="5151"/>
            <w:vAlign w:val="top"/>
          </w:tcPr>
          <w:p>
            <w:pPr>
              <w:spacing w:after="0"/>
            </w:pPr>
            <w:r>
              <w:rPr>
                <w:sz w:val="11"/>
              </w:rPr>
              <w:t>SEC-D086</w:t>
            </w:r>
          </w:p>
        </w:tc>
        <w:tc>
          <w:tcPr>
            <w:tcW w:type="dxa" w:w="5151"/>
            <w:vAlign w:val="top"/>
          </w:tcPr>
          <w:p>
            <w:pPr>
              <w:spacing w:after="0"/>
            </w:pPr>
            <w:r>
              <w:rPr>
                <w:sz w:val="11"/>
              </w:rPr>
              <w:t>Privacy and personal-data protection</w:t>
            </w:r>
          </w:p>
        </w:tc>
        <w:tc>
          <w:tcPr>
            <w:tcW w:type="dxa" w:w="5151"/>
            <w:vAlign w:val="top"/>
          </w:tcPr>
          <w:p>
            <w:pPr>
              <w:spacing w:after="0"/>
            </w:pPr>
            <w:r>
              <w:rPr>
                <w:sz w:val="11"/>
              </w:rPr>
              <w:t>Crash/diagnostic collection is minimized and redacted before external telemetry.</w:t>
            </w:r>
          </w:p>
        </w:tc>
      </w:tr>
      <w:tr>
        <w:trPr>
          <w:cantSplit/>
        </w:trPr>
        <w:tc>
          <w:tcPr>
            <w:tcW w:type="dxa" w:w="5151"/>
            <w:vAlign w:val="top"/>
          </w:tcPr>
          <w:p>
            <w:pPr>
              <w:spacing w:after="0"/>
            </w:pPr>
            <w:r>
              <w:rPr>
                <w:sz w:val="11"/>
              </w:rPr>
              <w:t>SEC-D087</w:t>
            </w:r>
          </w:p>
        </w:tc>
        <w:tc>
          <w:tcPr>
            <w:tcW w:type="dxa" w:w="5151"/>
            <w:vAlign w:val="top"/>
          </w:tcPr>
          <w:p>
            <w:pPr>
              <w:spacing w:after="0"/>
            </w:pPr>
            <w:r>
              <w:rPr>
                <w:sz w:val="11"/>
              </w:rPr>
              <w:t>Privacy and personal-data protection</w:t>
            </w:r>
          </w:p>
        </w:tc>
        <w:tc>
          <w:tcPr>
            <w:tcW w:type="dxa" w:w="5151"/>
            <w:vAlign w:val="top"/>
          </w:tcPr>
          <w:p>
            <w:pPr>
              <w:spacing w:after="0"/>
            </w:pPr>
            <w:r>
              <w:rPr>
                <w:sz w:val="11"/>
              </w:rPr>
              <w:t>Privacy-sensitive content is not automatically copied to clipboard, public storage or external share targets.</w:t>
            </w:r>
          </w:p>
        </w:tc>
      </w:tr>
      <w:tr>
        <w:trPr>
          <w:cantSplit/>
        </w:trPr>
        <w:tc>
          <w:tcPr>
            <w:tcW w:type="dxa" w:w="5151"/>
            <w:vAlign w:val="top"/>
          </w:tcPr>
          <w:p>
            <w:pPr>
              <w:spacing w:after="0"/>
            </w:pPr>
            <w:r>
              <w:rPr>
                <w:sz w:val="11"/>
              </w:rPr>
              <w:t>SEC-D088</w:t>
            </w:r>
          </w:p>
        </w:tc>
        <w:tc>
          <w:tcPr>
            <w:tcW w:type="dxa" w:w="5151"/>
            <w:vAlign w:val="top"/>
          </w:tcPr>
          <w:p>
            <w:pPr>
              <w:spacing w:after="0"/>
            </w:pPr>
            <w:r>
              <w:rPr>
                <w:sz w:val="11"/>
              </w:rPr>
              <w:t>Privacy and personal-data protection</w:t>
            </w:r>
          </w:p>
        </w:tc>
        <w:tc>
          <w:tcPr>
            <w:tcW w:type="dxa" w:w="5151"/>
            <w:vAlign w:val="top"/>
          </w:tcPr>
          <w:p>
            <w:pPr>
              <w:spacing w:after="0"/>
            </w:pPr>
            <w:r>
              <w:rPr>
                <w:sz w:val="11"/>
              </w:rPr>
              <w:t>Authorized PDF/CSV exports may include necessary business/personal attribution; creation remains explicit, authorized and audited.</w:t>
            </w:r>
          </w:p>
        </w:tc>
      </w:tr>
      <w:tr>
        <w:trPr>
          <w:cantSplit/>
        </w:trPr>
        <w:tc>
          <w:tcPr>
            <w:tcW w:type="dxa" w:w="5151"/>
            <w:vAlign w:val="top"/>
          </w:tcPr>
          <w:p>
            <w:pPr>
              <w:spacing w:after="0"/>
            </w:pPr>
            <w:r>
              <w:rPr>
                <w:sz w:val="11"/>
              </w:rPr>
              <w:t>SEC-D089</w:t>
            </w:r>
          </w:p>
        </w:tc>
        <w:tc>
          <w:tcPr>
            <w:tcW w:type="dxa" w:w="5151"/>
            <w:vAlign w:val="top"/>
          </w:tcPr>
          <w:p>
            <w:pPr>
              <w:spacing w:after="0"/>
            </w:pPr>
            <w:r>
              <w:rPr>
                <w:sz w:val="11"/>
              </w:rPr>
              <w:t>Privacy and personal-data protection</w:t>
            </w:r>
          </w:p>
        </w:tc>
        <w:tc>
          <w:tcPr>
            <w:tcW w:type="dxa" w:w="5151"/>
            <w:vAlign w:val="top"/>
          </w:tcPr>
          <w:p>
            <w:pPr>
              <w:spacing w:after="0"/>
            </w:pPr>
            <w:r>
              <w:rPr>
                <w:sz w:val="11"/>
              </w:rPr>
              <w:t>V6 has no self-service deletion that destroys immutable corporate inventory/audit history; such requests follow organization/legal retention processes.</w:t>
            </w:r>
          </w:p>
        </w:tc>
      </w:tr>
      <w:tr>
        <w:trPr>
          <w:cantSplit/>
        </w:trPr>
        <w:tc>
          <w:tcPr>
            <w:tcW w:type="dxa" w:w="5151"/>
            <w:vAlign w:val="top"/>
          </w:tcPr>
          <w:p>
            <w:pPr>
              <w:spacing w:after="0"/>
            </w:pPr>
            <w:r>
              <w:rPr>
                <w:sz w:val="11"/>
              </w:rPr>
              <w:t>SEC-D090</w:t>
            </w:r>
          </w:p>
        </w:tc>
        <w:tc>
          <w:tcPr>
            <w:tcW w:type="dxa" w:w="5151"/>
            <w:vAlign w:val="top"/>
          </w:tcPr>
          <w:p>
            <w:pPr>
              <w:spacing w:after="0"/>
            </w:pPr>
            <w:r>
              <w:rPr>
                <w:sz w:val="11"/>
              </w:rPr>
              <w:t>Privacy and personal-data protection</w:t>
            </w:r>
          </w:p>
        </w:tc>
        <w:tc>
          <w:tcPr>
            <w:tcW w:type="dxa" w:w="5151"/>
            <w:vAlign w:val="top"/>
          </w:tcPr>
          <w:p>
            <w:pPr>
              <w:spacing w:after="0"/>
            </w:pPr>
            <w:r>
              <w:rPr>
                <w:sz w:val="11"/>
              </w:rPr>
              <w:t>Final retention/deletion is governed by Doc19 and must not create dangling references or falsify retained history.</w:t>
            </w:r>
          </w:p>
        </w:tc>
      </w:tr>
      <w:tr>
        <w:trPr>
          <w:cantSplit/>
        </w:trPr>
        <w:tc>
          <w:tcPr>
            <w:tcW w:type="dxa" w:w="5151"/>
            <w:vAlign w:val="top"/>
          </w:tcPr>
          <w:p>
            <w:pPr>
              <w:spacing w:after="0"/>
            </w:pPr>
            <w:r>
              <w:rPr>
                <w:sz w:val="11"/>
              </w:rPr>
              <w:t>SEC-D091</w:t>
            </w:r>
          </w:p>
        </w:tc>
        <w:tc>
          <w:tcPr>
            <w:tcW w:type="dxa" w:w="5151"/>
            <w:vAlign w:val="top"/>
          </w:tcPr>
          <w:p>
            <w:pPr>
              <w:spacing w:after="0"/>
            </w:pPr>
            <w:r>
              <w:rPr>
                <w:sz w:val="11"/>
              </w:rPr>
              <w:t>Logging, diagnostics and observability</w:t>
            </w:r>
          </w:p>
        </w:tc>
        <w:tc>
          <w:tcPr>
            <w:tcW w:type="dxa" w:w="5151"/>
            <w:vAlign w:val="top"/>
          </w:tcPr>
          <w:p>
            <w:pPr>
              <w:spacing w:after="0"/>
            </w:pPr>
            <w:r>
              <w:rPr>
                <w:sz w:val="11"/>
              </w:rPr>
              <w:t>Production uses structured logging with explicit redaction.</w:t>
            </w:r>
          </w:p>
        </w:tc>
      </w:tr>
      <w:tr>
        <w:trPr>
          <w:cantSplit/>
        </w:trPr>
        <w:tc>
          <w:tcPr>
            <w:tcW w:type="dxa" w:w="5151"/>
            <w:vAlign w:val="top"/>
          </w:tcPr>
          <w:p>
            <w:pPr>
              <w:spacing w:after="0"/>
            </w:pPr>
            <w:r>
              <w:rPr>
                <w:sz w:val="11"/>
              </w:rPr>
              <w:t>SEC-D092</w:t>
            </w:r>
          </w:p>
        </w:tc>
        <w:tc>
          <w:tcPr>
            <w:tcW w:type="dxa" w:w="5151"/>
            <w:vAlign w:val="top"/>
          </w:tcPr>
          <w:p>
            <w:pPr>
              <w:spacing w:after="0"/>
            </w:pPr>
            <w:r>
              <w:rPr>
                <w:sz w:val="11"/>
              </w:rPr>
              <w:t>Logging, diagnostics and observability</w:t>
            </w:r>
          </w:p>
        </w:tc>
        <w:tc>
          <w:tcPr>
            <w:tcW w:type="dxa" w:w="5151"/>
            <w:vAlign w:val="top"/>
          </w:tcPr>
          <w:p>
            <w:pPr>
              <w:spacing w:after="0"/>
            </w:pPr>
            <w:r>
              <w:rPr>
                <w:sz w:val="11"/>
              </w:rPr>
              <w:t>Logs never contain passwords, tokens, Authorization/Cookie headers, cryptographic keys or secret configuration.</w:t>
            </w:r>
          </w:p>
        </w:tc>
      </w:tr>
      <w:tr>
        <w:trPr>
          <w:cantSplit/>
        </w:trPr>
        <w:tc>
          <w:tcPr>
            <w:tcW w:type="dxa" w:w="5151"/>
            <w:vAlign w:val="top"/>
          </w:tcPr>
          <w:p>
            <w:pPr>
              <w:spacing w:after="0"/>
            </w:pPr>
            <w:r>
              <w:rPr>
                <w:sz w:val="11"/>
              </w:rPr>
              <w:t>SEC-D093</w:t>
            </w:r>
          </w:p>
        </w:tc>
        <w:tc>
          <w:tcPr>
            <w:tcW w:type="dxa" w:w="5151"/>
            <w:vAlign w:val="top"/>
          </w:tcPr>
          <w:p>
            <w:pPr>
              <w:spacing w:after="0"/>
            </w:pPr>
            <w:r>
              <w:rPr>
                <w:sz w:val="11"/>
              </w:rPr>
              <w:t>Logging, diagnostics and observability</w:t>
            </w:r>
          </w:p>
        </w:tc>
        <w:tc>
          <w:tcPr>
            <w:tcW w:type="dxa" w:w="5151"/>
            <w:vAlign w:val="top"/>
          </w:tcPr>
          <w:p>
            <w:pPr>
              <w:spacing w:after="0"/>
            </w:pPr>
            <w:r>
              <w:rPr>
                <w:sz w:val="11"/>
              </w:rPr>
              <w:t>Logs never contain PHOTO bytes/base64, complete Evidence binaries or database dumps.</w:t>
            </w:r>
          </w:p>
        </w:tc>
      </w:tr>
      <w:tr>
        <w:trPr>
          <w:cantSplit/>
        </w:trPr>
        <w:tc>
          <w:tcPr>
            <w:tcW w:type="dxa" w:w="5151"/>
            <w:vAlign w:val="top"/>
          </w:tcPr>
          <w:p>
            <w:pPr>
              <w:spacing w:after="0"/>
            </w:pPr>
            <w:r>
              <w:rPr>
                <w:sz w:val="11"/>
              </w:rPr>
              <w:t>SEC-D094</w:t>
            </w:r>
          </w:p>
        </w:tc>
        <w:tc>
          <w:tcPr>
            <w:tcW w:type="dxa" w:w="5151"/>
            <w:vAlign w:val="top"/>
          </w:tcPr>
          <w:p>
            <w:pPr>
              <w:spacing w:after="0"/>
            </w:pPr>
            <w:r>
              <w:rPr>
                <w:sz w:val="11"/>
              </w:rPr>
              <w:t>Logging, diagnostics and observability</w:t>
            </w:r>
          </w:p>
        </w:tc>
        <w:tc>
          <w:tcPr>
            <w:tcW w:type="dxa" w:w="5151"/>
            <w:vAlign w:val="top"/>
          </w:tcPr>
          <w:p>
            <w:pPr>
              <w:spacing w:after="0"/>
            </w:pPr>
            <w:r>
              <w:rPr>
                <w:sz w:val="11"/>
              </w:rPr>
              <w:t>Arbitrary Note text and full request/response business payloads are not logged by default.</w:t>
            </w:r>
          </w:p>
        </w:tc>
      </w:tr>
      <w:tr>
        <w:trPr>
          <w:cantSplit/>
        </w:trPr>
        <w:tc>
          <w:tcPr>
            <w:tcW w:type="dxa" w:w="5151"/>
            <w:vAlign w:val="top"/>
          </w:tcPr>
          <w:p>
            <w:pPr>
              <w:spacing w:after="0"/>
            </w:pPr>
            <w:r>
              <w:rPr>
                <w:sz w:val="11"/>
              </w:rPr>
              <w:t>SEC-D095</w:t>
            </w:r>
          </w:p>
        </w:tc>
        <w:tc>
          <w:tcPr>
            <w:tcW w:type="dxa" w:w="5151"/>
            <w:vAlign w:val="top"/>
          </w:tcPr>
          <w:p>
            <w:pPr>
              <w:spacing w:after="0"/>
            </w:pPr>
            <w:r>
              <w:rPr>
                <w:sz w:val="11"/>
              </w:rPr>
              <w:t>Logging, diagnostics and observability</w:t>
            </w:r>
          </w:p>
        </w:tc>
        <w:tc>
          <w:tcPr>
            <w:tcW w:type="dxa" w:w="5151"/>
            <w:vAlign w:val="top"/>
          </w:tcPr>
          <w:p>
            <w:pPr>
              <w:spacing w:after="0"/>
            </w:pPr>
            <w:r>
              <w:rPr>
                <w:sz w:val="11"/>
              </w:rPr>
              <w:t>Safe context may include timestamp, environment, component, severity, correlationId, endpoint/operation ID, sanitized error code, duration and non-secret technical IDs.</w:t>
            </w:r>
          </w:p>
        </w:tc>
      </w:tr>
      <w:tr>
        <w:trPr>
          <w:cantSplit/>
        </w:trPr>
        <w:tc>
          <w:tcPr>
            <w:tcW w:type="dxa" w:w="5151"/>
            <w:vAlign w:val="top"/>
          </w:tcPr>
          <w:p>
            <w:pPr>
              <w:spacing w:after="0"/>
            </w:pPr>
            <w:r>
              <w:rPr>
                <w:sz w:val="11"/>
              </w:rPr>
              <w:t>SEC-D096</w:t>
            </w:r>
          </w:p>
        </w:tc>
        <w:tc>
          <w:tcPr>
            <w:tcW w:type="dxa" w:w="5151"/>
            <w:vAlign w:val="top"/>
          </w:tcPr>
          <w:p>
            <w:pPr>
              <w:spacing w:after="0"/>
            </w:pPr>
            <w:r>
              <w:rPr>
                <w:sz w:val="11"/>
              </w:rPr>
              <w:t>Logging, diagnostics and observability</w:t>
            </w:r>
          </w:p>
        </w:tc>
        <w:tc>
          <w:tcPr>
            <w:tcW w:type="dxa" w:w="5151"/>
            <w:vAlign w:val="top"/>
          </w:tcPr>
          <w:p>
            <w:pPr>
              <w:spacing w:after="0"/>
            </w:pPr>
            <w:r>
              <w:rPr>
                <w:sz w:val="11"/>
              </w:rPr>
              <w:t>Email/full user display data is not logged by default when stable internal userId is sufficient.</w:t>
            </w:r>
          </w:p>
        </w:tc>
      </w:tr>
      <w:tr>
        <w:trPr>
          <w:cantSplit/>
        </w:trPr>
        <w:tc>
          <w:tcPr>
            <w:tcW w:type="dxa" w:w="5151"/>
            <w:vAlign w:val="top"/>
          </w:tcPr>
          <w:p>
            <w:pPr>
              <w:spacing w:after="0"/>
            </w:pPr>
            <w:r>
              <w:rPr>
                <w:sz w:val="11"/>
              </w:rPr>
              <w:t>SEC-D097</w:t>
            </w:r>
          </w:p>
        </w:tc>
        <w:tc>
          <w:tcPr>
            <w:tcW w:type="dxa" w:w="5151"/>
            <w:vAlign w:val="top"/>
          </w:tcPr>
          <w:p>
            <w:pPr>
              <w:spacing w:after="0"/>
            </w:pPr>
            <w:r>
              <w:rPr>
                <w:sz w:val="11"/>
              </w:rPr>
              <w:t>Logging, diagnostics and observability</w:t>
            </w:r>
          </w:p>
        </w:tc>
        <w:tc>
          <w:tcPr>
            <w:tcW w:type="dxa" w:w="5151"/>
            <w:vAlign w:val="top"/>
          </w:tcPr>
          <w:p>
            <w:pPr>
              <w:spacing w:after="0"/>
            </w:pPr>
            <w:r>
              <w:rPr>
                <w:sz w:val="11"/>
              </w:rPr>
              <w:t>Protected server telemetry may contain stack traces for unexpected internal errors; API clients never receive them.</w:t>
            </w:r>
          </w:p>
        </w:tc>
      </w:tr>
      <w:tr>
        <w:trPr>
          <w:cantSplit/>
        </w:trPr>
        <w:tc>
          <w:tcPr>
            <w:tcW w:type="dxa" w:w="5151"/>
            <w:vAlign w:val="top"/>
          </w:tcPr>
          <w:p>
            <w:pPr>
              <w:spacing w:after="0"/>
            </w:pPr>
            <w:r>
              <w:rPr>
                <w:sz w:val="11"/>
              </w:rPr>
              <w:t>SEC-D098</w:t>
            </w:r>
          </w:p>
        </w:tc>
        <w:tc>
          <w:tcPr>
            <w:tcW w:type="dxa" w:w="5151"/>
            <w:vAlign w:val="top"/>
          </w:tcPr>
          <w:p>
            <w:pPr>
              <w:spacing w:after="0"/>
            </w:pPr>
            <w:r>
              <w:rPr>
                <w:sz w:val="11"/>
              </w:rPr>
              <w:t>Logging, diagnostics and observability</w:t>
            </w:r>
          </w:p>
        </w:tc>
        <w:tc>
          <w:tcPr>
            <w:tcW w:type="dxa" w:w="5151"/>
            <w:vAlign w:val="top"/>
          </w:tcPr>
          <w:p>
            <w:pPr>
              <w:spacing w:after="0"/>
            </w:pPr>
            <w:r>
              <w:rPr>
                <w:sz w:val="11"/>
              </w:rPr>
              <w:t>Production Android builds do not leave verbose/debug payload logging enabled for sensitive workflows.</w:t>
            </w:r>
          </w:p>
        </w:tc>
      </w:tr>
      <w:tr>
        <w:trPr>
          <w:cantSplit/>
        </w:trPr>
        <w:tc>
          <w:tcPr>
            <w:tcW w:type="dxa" w:w="5151"/>
            <w:vAlign w:val="top"/>
          </w:tcPr>
          <w:p>
            <w:pPr>
              <w:spacing w:after="0"/>
            </w:pPr>
            <w:r>
              <w:rPr>
                <w:sz w:val="11"/>
              </w:rPr>
              <w:t>SEC-D099</w:t>
            </w:r>
          </w:p>
        </w:tc>
        <w:tc>
          <w:tcPr>
            <w:tcW w:type="dxa" w:w="5151"/>
            <w:vAlign w:val="top"/>
          </w:tcPr>
          <w:p>
            <w:pPr>
              <w:spacing w:after="0"/>
            </w:pPr>
            <w:r>
              <w:rPr>
                <w:sz w:val="11"/>
              </w:rPr>
              <w:t>Logging, diagnostics and observability</w:t>
            </w:r>
          </w:p>
        </w:tc>
        <w:tc>
          <w:tcPr>
            <w:tcW w:type="dxa" w:w="5151"/>
            <w:vAlign w:val="top"/>
          </w:tcPr>
          <w:p>
            <w:pPr>
              <w:spacing w:after="0"/>
            </w:pPr>
            <w:r>
              <w:rPr>
                <w:sz w:val="11"/>
              </w:rPr>
              <w:t>Diagnostic packages are explicit and exclude auth secrets, database-encryption keys, raw credential stores and PHOTO binaries.</w:t>
            </w:r>
          </w:p>
        </w:tc>
      </w:tr>
      <w:tr>
        <w:trPr>
          <w:cantSplit/>
        </w:trPr>
        <w:tc>
          <w:tcPr>
            <w:tcW w:type="dxa" w:w="5151"/>
            <w:vAlign w:val="top"/>
          </w:tcPr>
          <w:p>
            <w:pPr>
              <w:spacing w:after="0"/>
            </w:pPr>
            <w:r>
              <w:rPr>
                <w:sz w:val="11"/>
              </w:rPr>
              <w:t>SEC-D100</w:t>
            </w:r>
          </w:p>
        </w:tc>
        <w:tc>
          <w:tcPr>
            <w:tcW w:type="dxa" w:w="5151"/>
            <w:vAlign w:val="top"/>
          </w:tcPr>
          <w:p>
            <w:pPr>
              <w:spacing w:after="0"/>
            </w:pPr>
            <w:r>
              <w:rPr>
                <w:sz w:val="11"/>
              </w:rPr>
              <w:t>Logging, diagnostics and observability</w:t>
            </w:r>
          </w:p>
        </w:tc>
        <w:tc>
          <w:tcPr>
            <w:tcW w:type="dxa" w:w="5151"/>
            <w:vAlign w:val="top"/>
          </w:tcPr>
          <w:p>
            <w:pPr>
              <w:spacing w:after="0"/>
            </w:pPr>
            <w:r>
              <w:rPr>
                <w:sz w:val="11"/>
              </w:rPr>
              <w:t>Diagnostic packages may include app version, environment identifier, non-persistent compatibility metadata, sanitized sync state/counts, error codes and correlation references.</w:t>
            </w:r>
          </w:p>
        </w:tc>
      </w:tr>
      <w:tr>
        <w:trPr>
          <w:cantSplit/>
        </w:trPr>
        <w:tc>
          <w:tcPr>
            <w:tcW w:type="dxa" w:w="5151"/>
            <w:vAlign w:val="top"/>
          </w:tcPr>
          <w:p>
            <w:pPr>
              <w:spacing w:after="0"/>
            </w:pPr>
            <w:r>
              <w:rPr>
                <w:sz w:val="11"/>
              </w:rPr>
              <w:t>SEC-D101</w:t>
            </w:r>
          </w:p>
        </w:tc>
        <w:tc>
          <w:tcPr>
            <w:tcW w:type="dxa" w:w="5151"/>
            <w:vAlign w:val="top"/>
          </w:tcPr>
          <w:p>
            <w:pPr>
              <w:spacing w:after="0"/>
            </w:pPr>
            <w:r>
              <w:rPr>
                <w:sz w:val="11"/>
              </w:rPr>
              <w:t>Logging, diagnostics and observability</w:t>
            </w:r>
          </w:p>
        </w:tc>
        <w:tc>
          <w:tcPr>
            <w:tcW w:type="dxa" w:w="5151"/>
            <w:vAlign w:val="top"/>
          </w:tcPr>
          <w:p>
            <w:pPr>
              <w:spacing w:after="0"/>
            </w:pPr>
            <w:r>
              <w:rPr>
                <w:sz w:val="11"/>
              </w:rPr>
              <w:t>Diagnostic export supports review/redaction before support transfer when business identifiers may be present.</w:t>
            </w:r>
          </w:p>
        </w:tc>
      </w:tr>
      <w:tr>
        <w:trPr>
          <w:cantSplit/>
        </w:trPr>
        <w:tc>
          <w:tcPr>
            <w:tcW w:type="dxa" w:w="5151"/>
            <w:vAlign w:val="top"/>
          </w:tcPr>
          <w:p>
            <w:pPr>
              <w:spacing w:after="0"/>
            </w:pPr>
            <w:r>
              <w:rPr>
                <w:sz w:val="11"/>
              </w:rPr>
              <w:t>SEC-D102</w:t>
            </w:r>
          </w:p>
        </w:tc>
        <w:tc>
          <w:tcPr>
            <w:tcW w:type="dxa" w:w="5151"/>
            <w:vAlign w:val="top"/>
          </w:tcPr>
          <w:p>
            <w:pPr>
              <w:spacing w:after="0"/>
            </w:pPr>
            <w:r>
              <w:rPr>
                <w:sz w:val="11"/>
              </w:rPr>
              <w:t>Logging, diagnostics and observability</w:t>
            </w:r>
          </w:p>
        </w:tc>
        <w:tc>
          <w:tcPr>
            <w:tcW w:type="dxa" w:w="5151"/>
            <w:vAlign w:val="top"/>
          </w:tcPr>
          <w:p>
            <w:pPr>
              <w:spacing w:after="0"/>
            </w:pPr>
            <w:r>
              <w:rPr>
                <w:sz w:val="11"/>
              </w:rPr>
              <w:t>SyncOperation/SyncConflict/Audit before-after payloads are not copied wholesale into generic production logs.</w:t>
            </w:r>
          </w:p>
        </w:tc>
      </w:tr>
      <w:tr>
        <w:trPr>
          <w:cantSplit/>
        </w:trPr>
        <w:tc>
          <w:tcPr>
            <w:tcW w:type="dxa" w:w="5151"/>
            <w:vAlign w:val="top"/>
          </w:tcPr>
          <w:p>
            <w:pPr>
              <w:spacing w:after="0"/>
            </w:pPr>
            <w:r>
              <w:rPr>
                <w:sz w:val="11"/>
              </w:rPr>
              <w:t>SEC-D103</w:t>
            </w:r>
          </w:p>
        </w:tc>
        <w:tc>
          <w:tcPr>
            <w:tcW w:type="dxa" w:w="5151"/>
            <w:vAlign w:val="top"/>
          </w:tcPr>
          <w:p>
            <w:pPr>
              <w:spacing w:after="0"/>
            </w:pPr>
            <w:r>
              <w:rPr>
                <w:sz w:val="11"/>
              </w:rPr>
              <w:t>Logging, diagnostics and observability</w:t>
            </w:r>
          </w:p>
        </w:tc>
        <w:tc>
          <w:tcPr>
            <w:tcW w:type="dxa" w:w="5151"/>
            <w:vAlign w:val="top"/>
          </w:tcPr>
          <w:p>
            <w:pPr>
              <w:spacing w:after="0"/>
            </w:pPr>
            <w:r>
              <w:rPr>
                <w:sz w:val="11"/>
              </w:rPr>
              <w:t>Security telemetry and business Audit Trail are separate: telemetry serves detection/operations; Audit Trail serves accountability/history.</w:t>
            </w:r>
          </w:p>
        </w:tc>
      </w:tr>
      <w:tr>
        <w:trPr>
          <w:cantSplit/>
        </w:trPr>
        <w:tc>
          <w:tcPr>
            <w:tcW w:type="dxa" w:w="5151"/>
            <w:vAlign w:val="top"/>
          </w:tcPr>
          <w:p>
            <w:pPr>
              <w:spacing w:after="0"/>
            </w:pPr>
            <w:r>
              <w:rPr>
                <w:sz w:val="11"/>
              </w:rPr>
              <w:t>SEC-D104</w:t>
            </w:r>
          </w:p>
        </w:tc>
        <w:tc>
          <w:tcPr>
            <w:tcW w:type="dxa" w:w="5151"/>
            <w:vAlign w:val="top"/>
          </w:tcPr>
          <w:p>
            <w:pPr>
              <w:spacing w:after="0"/>
            </w:pPr>
            <w:r>
              <w:rPr>
                <w:sz w:val="11"/>
              </w:rPr>
              <w:t>Logging, diagnostics and observability</w:t>
            </w:r>
          </w:p>
        </w:tc>
        <w:tc>
          <w:tcPr>
            <w:tcW w:type="dxa" w:w="5151"/>
            <w:vAlign w:val="top"/>
          </w:tcPr>
          <w:p>
            <w:pPr>
              <w:spacing w:after="0"/>
            </w:pPr>
            <w:r>
              <w:rPr>
                <w:sz w:val="11"/>
              </w:rPr>
              <w:t>Observability must detect authentication abuse, abnormal authorization denials, sync-failure spikes, report-integrity errors, repeated Evidence upload/hash failures and unexpected server errors.</w:t>
            </w:r>
          </w:p>
        </w:tc>
      </w:tr>
      <w:tr>
        <w:trPr>
          <w:cantSplit/>
        </w:trPr>
        <w:tc>
          <w:tcPr>
            <w:tcW w:type="dxa" w:w="5151"/>
            <w:vAlign w:val="top"/>
          </w:tcPr>
          <w:p>
            <w:pPr>
              <w:spacing w:after="0"/>
            </w:pPr>
            <w:r>
              <w:rPr>
                <w:sz w:val="11"/>
              </w:rPr>
              <w:t>SEC-D105</w:t>
            </w:r>
          </w:p>
        </w:tc>
        <w:tc>
          <w:tcPr>
            <w:tcW w:type="dxa" w:w="5151"/>
            <w:vAlign w:val="top"/>
          </w:tcPr>
          <w:p>
            <w:pPr>
              <w:spacing w:after="0"/>
            </w:pPr>
            <w:r>
              <w:rPr>
                <w:sz w:val="11"/>
              </w:rPr>
              <w:t>Abuse protection and rate limiting</w:t>
            </w:r>
          </w:p>
        </w:tc>
        <w:tc>
          <w:tcPr>
            <w:tcW w:type="dxa" w:w="5151"/>
            <w:vAlign w:val="top"/>
          </w:tcPr>
          <w:p>
            <w:pPr>
              <w:spacing w:after="0"/>
            </w:pPr>
            <w:r>
              <w:rPr>
                <w:sz w:val="11"/>
              </w:rPr>
              <w:t>Authentication endpoints are protected by server-side rate limiting/throttling.</w:t>
            </w:r>
          </w:p>
        </w:tc>
      </w:tr>
      <w:tr>
        <w:trPr>
          <w:cantSplit/>
        </w:trPr>
        <w:tc>
          <w:tcPr>
            <w:tcW w:type="dxa" w:w="5151"/>
            <w:vAlign w:val="top"/>
          </w:tcPr>
          <w:p>
            <w:pPr>
              <w:spacing w:after="0"/>
            </w:pPr>
            <w:r>
              <w:rPr>
                <w:sz w:val="11"/>
              </w:rPr>
              <w:t>SEC-D106</w:t>
            </w:r>
          </w:p>
        </w:tc>
        <w:tc>
          <w:tcPr>
            <w:tcW w:type="dxa" w:w="5151"/>
            <w:vAlign w:val="top"/>
          </w:tcPr>
          <w:p>
            <w:pPr>
              <w:spacing w:after="0"/>
            </w:pPr>
            <w:r>
              <w:rPr>
                <w:sz w:val="11"/>
              </w:rPr>
              <w:t>Abuse protection and rate limiting</w:t>
            </w:r>
          </w:p>
        </w:tc>
        <w:tc>
          <w:tcPr>
            <w:tcW w:type="dxa" w:w="5151"/>
            <w:vAlign w:val="top"/>
          </w:tcPr>
          <w:p>
            <w:pPr>
              <w:spacing w:after="0"/>
            </w:pPr>
            <w:r>
              <w:rPr>
                <w:sz w:val="11"/>
              </w:rPr>
              <w:t>Sign In allows at most 5 failed attempts per 15 minutes per normalized account identifier before temporary throttling.</w:t>
            </w:r>
          </w:p>
        </w:tc>
      </w:tr>
      <w:tr>
        <w:trPr>
          <w:cantSplit/>
        </w:trPr>
        <w:tc>
          <w:tcPr>
            <w:tcW w:type="dxa" w:w="5151"/>
            <w:vAlign w:val="top"/>
          </w:tcPr>
          <w:p>
            <w:pPr>
              <w:spacing w:after="0"/>
            </w:pPr>
            <w:r>
              <w:rPr>
                <w:sz w:val="11"/>
              </w:rPr>
              <w:t>SEC-D107</w:t>
            </w:r>
          </w:p>
        </w:tc>
        <w:tc>
          <w:tcPr>
            <w:tcW w:type="dxa" w:w="5151"/>
            <w:vAlign w:val="top"/>
          </w:tcPr>
          <w:p>
            <w:pPr>
              <w:spacing w:after="0"/>
            </w:pPr>
            <w:r>
              <w:rPr>
                <w:sz w:val="11"/>
              </w:rPr>
              <w:t>Abuse protection and rate limiting</w:t>
            </w:r>
          </w:p>
        </w:tc>
        <w:tc>
          <w:tcPr>
            <w:tcW w:type="dxa" w:w="5151"/>
            <w:vAlign w:val="top"/>
          </w:tcPr>
          <w:p>
            <w:pPr>
              <w:spacing w:after="0"/>
            </w:pPr>
            <w:r>
              <w:rPr>
                <w:sz w:val="11"/>
              </w:rPr>
              <w:t>Additional deployment-configurable source/network protection mitigates distributed credential guessing and is not used alone for permanent account lock.</w:t>
            </w:r>
          </w:p>
        </w:tc>
      </w:tr>
      <w:tr>
        <w:trPr>
          <w:cantSplit/>
        </w:trPr>
        <w:tc>
          <w:tcPr>
            <w:tcW w:type="dxa" w:w="5151"/>
            <w:vAlign w:val="top"/>
          </w:tcPr>
          <w:p>
            <w:pPr>
              <w:spacing w:after="0"/>
            </w:pPr>
            <w:r>
              <w:rPr>
                <w:sz w:val="11"/>
              </w:rPr>
              <w:t>SEC-D108</w:t>
            </w:r>
          </w:p>
        </w:tc>
        <w:tc>
          <w:tcPr>
            <w:tcW w:type="dxa" w:w="5151"/>
            <w:vAlign w:val="top"/>
          </w:tcPr>
          <w:p>
            <w:pPr>
              <w:spacing w:after="0"/>
            </w:pPr>
            <w:r>
              <w:rPr>
                <w:sz w:val="11"/>
              </w:rPr>
              <w:t>Abuse protection and rate limiting</w:t>
            </w:r>
          </w:p>
        </w:tc>
        <w:tc>
          <w:tcPr>
            <w:tcW w:type="dxa" w:w="5151"/>
            <w:vAlign w:val="top"/>
          </w:tcPr>
          <w:p>
            <w:pPr>
              <w:spacing w:after="0"/>
            </w:pPr>
            <w:r>
              <w:rPr>
                <w:sz w:val="11"/>
              </w:rPr>
              <w:t>There is no permanent automatic account lock based only on failed password attempts.</w:t>
            </w:r>
          </w:p>
        </w:tc>
      </w:tr>
      <w:tr>
        <w:trPr>
          <w:cantSplit/>
        </w:trPr>
        <w:tc>
          <w:tcPr>
            <w:tcW w:type="dxa" w:w="5151"/>
            <w:vAlign w:val="top"/>
          </w:tcPr>
          <w:p>
            <w:pPr>
              <w:spacing w:after="0"/>
            </w:pPr>
            <w:r>
              <w:rPr>
                <w:sz w:val="11"/>
              </w:rPr>
              <w:t>SEC-D109</w:t>
            </w:r>
          </w:p>
        </w:tc>
        <w:tc>
          <w:tcPr>
            <w:tcW w:type="dxa" w:w="5151"/>
            <w:vAlign w:val="top"/>
          </w:tcPr>
          <w:p>
            <w:pPr>
              <w:spacing w:after="0"/>
            </w:pPr>
            <w:r>
              <w:rPr>
                <w:sz w:val="11"/>
              </w:rPr>
              <w:t>Abuse protection and rate limiting</w:t>
            </w:r>
          </w:p>
        </w:tc>
        <w:tc>
          <w:tcPr>
            <w:tcW w:type="dxa" w:w="5151"/>
            <w:vAlign w:val="top"/>
          </w:tcPr>
          <w:p>
            <w:pPr>
              <w:spacing w:after="0"/>
            </w:pPr>
            <w:r>
              <w:rPr>
                <w:sz w:val="11"/>
              </w:rPr>
              <w:t>Successful authentication may reset account-level failed-attempt counters according to backend policy.</w:t>
            </w:r>
          </w:p>
        </w:tc>
      </w:tr>
      <w:tr>
        <w:trPr>
          <w:cantSplit/>
        </w:trPr>
        <w:tc>
          <w:tcPr>
            <w:tcW w:type="dxa" w:w="5151"/>
            <w:vAlign w:val="top"/>
          </w:tcPr>
          <w:p>
            <w:pPr>
              <w:spacing w:after="0"/>
            </w:pPr>
            <w:r>
              <w:rPr>
                <w:sz w:val="11"/>
              </w:rPr>
              <w:t>SEC-D110</w:t>
            </w:r>
          </w:p>
        </w:tc>
        <w:tc>
          <w:tcPr>
            <w:tcW w:type="dxa" w:w="5151"/>
            <w:vAlign w:val="top"/>
          </w:tcPr>
          <w:p>
            <w:pPr>
              <w:spacing w:after="0"/>
            </w:pPr>
            <w:r>
              <w:rPr>
                <w:sz w:val="11"/>
              </w:rPr>
              <w:t>Abuse protection and rate limiting</w:t>
            </w:r>
          </w:p>
        </w:tc>
        <w:tc>
          <w:tcPr>
            <w:tcW w:type="dxa" w:w="5151"/>
            <w:vAlign w:val="top"/>
          </w:tcPr>
          <w:p>
            <w:pPr>
              <w:spacing w:after="0"/>
            </w:pPr>
            <w:r>
              <w:rPr>
                <w:sz w:val="11"/>
              </w:rPr>
              <w:t>Forgot/Reset Password endpoints are separately rate-limited by account identifier and abuse source.</w:t>
            </w:r>
          </w:p>
        </w:tc>
      </w:tr>
      <w:tr>
        <w:trPr>
          <w:cantSplit/>
        </w:trPr>
        <w:tc>
          <w:tcPr>
            <w:tcW w:type="dxa" w:w="5151"/>
            <w:vAlign w:val="top"/>
          </w:tcPr>
          <w:p>
            <w:pPr>
              <w:spacing w:after="0"/>
            </w:pPr>
            <w:r>
              <w:rPr>
                <w:sz w:val="11"/>
              </w:rPr>
              <w:t>SEC-D111</w:t>
            </w:r>
          </w:p>
        </w:tc>
        <w:tc>
          <w:tcPr>
            <w:tcW w:type="dxa" w:w="5151"/>
            <w:vAlign w:val="top"/>
          </w:tcPr>
          <w:p>
            <w:pPr>
              <w:spacing w:after="0"/>
            </w:pPr>
            <w:r>
              <w:rPr>
                <w:sz w:val="11"/>
              </w:rPr>
              <w:t>Abuse protection and rate limiting</w:t>
            </w:r>
          </w:p>
        </w:tc>
        <w:tc>
          <w:tcPr>
            <w:tcW w:type="dxa" w:w="5151"/>
            <w:vAlign w:val="top"/>
          </w:tcPr>
          <w:p>
            <w:pPr>
              <w:spacing w:after="0"/>
            </w:pPr>
            <w:r>
              <w:rPr>
                <w:sz w:val="11"/>
              </w:rPr>
              <w:t>Forgot Password accepts at most 3 reset requests per 60 minutes per normalized account identifier while keeping the response generic.</w:t>
            </w:r>
          </w:p>
        </w:tc>
      </w:tr>
      <w:tr>
        <w:trPr>
          <w:cantSplit/>
        </w:trPr>
        <w:tc>
          <w:tcPr>
            <w:tcW w:type="dxa" w:w="5151"/>
            <w:vAlign w:val="top"/>
          </w:tcPr>
          <w:p>
            <w:pPr>
              <w:spacing w:after="0"/>
            </w:pPr>
            <w:r>
              <w:rPr>
                <w:sz w:val="11"/>
              </w:rPr>
              <w:t>SEC-D112</w:t>
            </w:r>
          </w:p>
        </w:tc>
        <w:tc>
          <w:tcPr>
            <w:tcW w:type="dxa" w:w="5151"/>
            <w:vAlign w:val="top"/>
          </w:tcPr>
          <w:p>
            <w:pPr>
              <w:spacing w:after="0"/>
            </w:pPr>
            <w:r>
              <w:rPr>
                <w:sz w:val="11"/>
              </w:rPr>
              <w:t>Abuse protection and rate limiting</w:t>
            </w:r>
          </w:p>
        </w:tc>
        <w:tc>
          <w:tcPr>
            <w:tcW w:type="dxa" w:w="5151"/>
            <w:vAlign w:val="top"/>
          </w:tcPr>
          <w:p>
            <w:pPr>
              <w:spacing w:after="0"/>
            </w:pPr>
            <w:r>
              <w:rPr>
                <w:sz w:val="11"/>
              </w:rPr>
              <w:t>Reset tokens are single-use and valid for 30 minutes.</w:t>
            </w:r>
          </w:p>
        </w:tc>
      </w:tr>
      <w:tr>
        <w:trPr>
          <w:cantSplit/>
        </w:trPr>
        <w:tc>
          <w:tcPr>
            <w:tcW w:type="dxa" w:w="5151"/>
            <w:vAlign w:val="top"/>
          </w:tcPr>
          <w:p>
            <w:pPr>
              <w:spacing w:after="0"/>
            </w:pPr>
            <w:r>
              <w:rPr>
                <w:sz w:val="11"/>
              </w:rPr>
              <w:t>SEC-D113</w:t>
            </w:r>
          </w:p>
        </w:tc>
        <w:tc>
          <w:tcPr>
            <w:tcW w:type="dxa" w:w="5151"/>
            <w:vAlign w:val="top"/>
          </w:tcPr>
          <w:p>
            <w:pPr>
              <w:spacing w:after="0"/>
            </w:pPr>
            <w:r>
              <w:rPr>
                <w:sz w:val="11"/>
              </w:rPr>
              <w:t>Abuse protection and rate limiting</w:t>
            </w:r>
          </w:p>
        </w:tc>
        <w:tc>
          <w:tcPr>
            <w:tcW w:type="dxa" w:w="5151"/>
            <w:vAlign w:val="top"/>
          </w:tcPr>
          <w:p>
            <w:pPr>
              <w:spacing w:after="0"/>
            </w:pPr>
            <w:r>
              <w:rPr>
                <w:sz w:val="11"/>
              </w:rPr>
              <w:t>Consumed, superseded or expired reset tokens cannot be reused.</w:t>
            </w:r>
          </w:p>
        </w:tc>
      </w:tr>
      <w:tr>
        <w:trPr>
          <w:cantSplit/>
        </w:trPr>
        <w:tc>
          <w:tcPr>
            <w:tcW w:type="dxa" w:w="5151"/>
            <w:vAlign w:val="top"/>
          </w:tcPr>
          <w:p>
            <w:pPr>
              <w:spacing w:after="0"/>
            </w:pPr>
            <w:r>
              <w:rPr>
                <w:sz w:val="11"/>
              </w:rPr>
              <w:t>SEC-D114</w:t>
            </w:r>
          </w:p>
        </w:tc>
        <w:tc>
          <w:tcPr>
            <w:tcW w:type="dxa" w:w="5151"/>
            <w:vAlign w:val="top"/>
          </w:tcPr>
          <w:p>
            <w:pPr>
              <w:spacing w:after="0"/>
            </w:pPr>
            <w:r>
              <w:rPr>
                <w:sz w:val="11"/>
              </w:rPr>
              <w:t>Abuse protection and rate limiting</w:t>
            </w:r>
          </w:p>
        </w:tc>
        <w:tc>
          <w:tcPr>
            <w:tcW w:type="dxa" w:w="5151"/>
            <w:vAlign w:val="top"/>
          </w:tcPr>
          <w:p>
            <w:pPr>
              <w:spacing w:after="0"/>
            </w:pPr>
            <w:r>
              <w:rPr>
                <w:sz w:val="11"/>
              </w:rPr>
              <w:t>Authenticated API rate limits may be deployment-configurable but must not break legitimate sync batches or report exports.</w:t>
            </w:r>
          </w:p>
        </w:tc>
      </w:tr>
      <w:tr>
        <w:trPr>
          <w:cantSplit/>
        </w:trPr>
        <w:tc>
          <w:tcPr>
            <w:tcW w:type="dxa" w:w="5151"/>
            <w:vAlign w:val="top"/>
          </w:tcPr>
          <w:p>
            <w:pPr>
              <w:spacing w:after="0"/>
            </w:pPr>
            <w:r>
              <w:rPr>
                <w:sz w:val="11"/>
              </w:rPr>
              <w:t>SEC-D115</w:t>
            </w:r>
          </w:p>
        </w:tc>
        <w:tc>
          <w:tcPr>
            <w:tcW w:type="dxa" w:w="5151"/>
            <w:vAlign w:val="top"/>
          </w:tcPr>
          <w:p>
            <w:pPr>
              <w:spacing w:after="0"/>
            </w:pPr>
            <w:r>
              <w:rPr>
                <w:sz w:val="11"/>
              </w:rPr>
              <w:t>Abuse protection and rate limiting</w:t>
            </w:r>
          </w:p>
        </w:tc>
        <w:tc>
          <w:tcPr>
            <w:tcW w:type="dxa" w:w="5151"/>
            <w:vAlign w:val="top"/>
          </w:tcPr>
          <w:p>
            <w:pPr>
              <w:spacing w:after="0"/>
            </w:pPr>
            <w:r>
              <w:rPr>
                <w:sz w:val="11"/>
              </w:rPr>
              <w:t>HTTP 429 uses Retry-After when available; the frozen sync engine respects it.</w:t>
            </w:r>
          </w:p>
        </w:tc>
      </w:tr>
      <w:tr>
        <w:trPr>
          <w:cantSplit/>
        </w:trPr>
        <w:tc>
          <w:tcPr>
            <w:tcW w:type="dxa" w:w="5151"/>
            <w:vAlign w:val="top"/>
          </w:tcPr>
          <w:p>
            <w:pPr>
              <w:spacing w:after="0"/>
            </w:pPr>
            <w:r>
              <w:rPr>
                <w:sz w:val="11"/>
              </w:rPr>
              <w:t>SEC-D116</w:t>
            </w:r>
          </w:p>
        </w:tc>
        <w:tc>
          <w:tcPr>
            <w:tcW w:type="dxa" w:w="5151"/>
            <w:vAlign w:val="top"/>
          </w:tcPr>
          <w:p>
            <w:pPr>
              <w:spacing w:after="0"/>
            </w:pPr>
            <w:r>
              <w:rPr>
                <w:sz w:val="11"/>
              </w:rPr>
              <w:t>Abuse protection and rate limiting</w:t>
            </w:r>
          </w:p>
        </w:tc>
        <w:tc>
          <w:tcPr>
            <w:tcW w:type="dxa" w:w="5151"/>
            <w:vAlign w:val="top"/>
          </w:tcPr>
          <w:p>
            <w:pPr>
              <w:spacing w:after="0"/>
            </w:pPr>
            <w:r>
              <w:rPr>
                <w:sz w:val="11"/>
              </w:rPr>
              <w:t>Rate limiting is not authorization; every request remains subject to normal authentication/authorization.</w:t>
            </w:r>
          </w:p>
        </w:tc>
      </w:tr>
      <w:tr>
        <w:trPr>
          <w:cantSplit/>
        </w:trPr>
        <w:tc>
          <w:tcPr>
            <w:tcW w:type="dxa" w:w="5151"/>
            <w:vAlign w:val="top"/>
          </w:tcPr>
          <w:p>
            <w:pPr>
              <w:spacing w:after="0"/>
            </w:pPr>
            <w:r>
              <w:rPr>
                <w:sz w:val="11"/>
              </w:rPr>
              <w:t>SEC-D117</w:t>
            </w:r>
          </w:p>
        </w:tc>
        <w:tc>
          <w:tcPr>
            <w:tcW w:type="dxa" w:w="5151"/>
            <w:vAlign w:val="top"/>
          </w:tcPr>
          <w:p>
            <w:pPr>
              <w:spacing w:after="0"/>
            </w:pPr>
            <w:r>
              <w:rPr>
                <w:sz w:val="11"/>
              </w:rPr>
              <w:t>Abuse protection and rate limiting</w:t>
            </w:r>
          </w:p>
        </w:tc>
        <w:tc>
          <w:tcPr>
            <w:tcW w:type="dxa" w:w="5151"/>
            <w:vAlign w:val="top"/>
          </w:tcPr>
          <w:p>
            <w:pPr>
              <w:spacing w:after="0"/>
            </w:pPr>
            <w:r>
              <w:rPr>
                <w:sz w:val="11"/>
              </w:rPr>
              <w:t>Idempotent retry of the same SyncOperation is not automatically treated as a malicious duplicate mutation.</w:t>
            </w:r>
          </w:p>
        </w:tc>
      </w:tr>
      <w:tr>
        <w:trPr>
          <w:cantSplit/>
        </w:trPr>
        <w:tc>
          <w:tcPr>
            <w:tcW w:type="dxa" w:w="5151"/>
            <w:vAlign w:val="top"/>
          </w:tcPr>
          <w:p>
            <w:pPr>
              <w:spacing w:after="0"/>
            </w:pPr>
            <w:r>
              <w:rPr>
                <w:sz w:val="11"/>
              </w:rPr>
              <w:t>SEC-D118</w:t>
            </w:r>
          </w:p>
        </w:tc>
        <w:tc>
          <w:tcPr>
            <w:tcW w:type="dxa" w:w="5151"/>
            <w:vAlign w:val="top"/>
          </w:tcPr>
          <w:p>
            <w:pPr>
              <w:spacing w:after="0"/>
            </w:pPr>
            <w:r>
              <w:rPr>
                <w:sz w:val="11"/>
              </w:rPr>
              <w:t>Abuse protection and rate limiting</w:t>
            </w:r>
          </w:p>
        </w:tc>
        <w:tc>
          <w:tcPr>
            <w:tcW w:type="dxa" w:w="5151"/>
            <w:vAlign w:val="top"/>
          </w:tcPr>
          <w:p>
            <w:pPr>
              <w:spacing w:after="0"/>
            </w:pPr>
            <w:r>
              <w:rPr>
                <w:sz w:val="11"/>
              </w:rPr>
              <w:t>Evidence upload controls may limit size/concurrency/rate without changing the frozen 3 MB PHOTO hard maximum or Evidence semantics.</w:t>
            </w:r>
          </w:p>
        </w:tc>
      </w:tr>
      <w:tr>
        <w:trPr>
          <w:cantSplit/>
        </w:trPr>
        <w:tc>
          <w:tcPr>
            <w:tcW w:type="dxa" w:w="5151"/>
            <w:vAlign w:val="top"/>
          </w:tcPr>
          <w:p>
            <w:pPr>
              <w:spacing w:after="0"/>
            </w:pPr>
            <w:r>
              <w:rPr>
                <w:sz w:val="11"/>
              </w:rPr>
              <w:t>SEC-D119</w:t>
            </w:r>
          </w:p>
        </w:tc>
        <w:tc>
          <w:tcPr>
            <w:tcW w:type="dxa" w:w="5151"/>
            <w:vAlign w:val="top"/>
          </w:tcPr>
          <w:p>
            <w:pPr>
              <w:spacing w:after="0"/>
            </w:pPr>
            <w:r>
              <w:rPr>
                <w:sz w:val="11"/>
              </w:rPr>
              <w:t>Abuse protection and rate limiting</w:t>
            </w:r>
          </w:p>
        </w:tc>
        <w:tc>
          <w:tcPr>
            <w:tcW w:type="dxa" w:w="5151"/>
            <w:vAlign w:val="top"/>
          </w:tcPr>
          <w:p>
            <w:pPr>
              <w:spacing w:after="0"/>
            </w:pPr>
            <w:r>
              <w:rPr>
                <w:sz w:val="11"/>
              </w:rPr>
              <w:t>Report/export controls may limit concurrency/rate without producing partial or semantically different datasets.</w:t>
            </w:r>
          </w:p>
        </w:tc>
      </w:tr>
      <w:tr>
        <w:trPr>
          <w:cantSplit/>
        </w:trPr>
        <w:tc>
          <w:tcPr>
            <w:tcW w:type="dxa" w:w="5151"/>
            <w:vAlign w:val="top"/>
          </w:tcPr>
          <w:p>
            <w:pPr>
              <w:spacing w:after="0"/>
            </w:pPr>
            <w:r>
              <w:rPr>
                <w:sz w:val="11"/>
              </w:rPr>
              <w:t>SEC-D120</w:t>
            </w:r>
          </w:p>
        </w:tc>
        <w:tc>
          <w:tcPr>
            <w:tcW w:type="dxa" w:w="5151"/>
            <w:vAlign w:val="top"/>
          </w:tcPr>
          <w:p>
            <w:pPr>
              <w:spacing w:after="0"/>
            </w:pPr>
            <w:r>
              <w:rPr>
                <w:sz w:val="11"/>
              </w:rPr>
              <w:t>Abuse protection and rate limiting</w:t>
            </w:r>
          </w:p>
        </w:tc>
        <w:tc>
          <w:tcPr>
            <w:tcW w:type="dxa" w:w="5151"/>
            <w:vAlign w:val="top"/>
          </w:tcPr>
          <w:p>
            <w:pPr>
              <w:spacing w:after="0"/>
            </w:pPr>
            <w:r>
              <w:rPr>
                <w:sz w:val="11"/>
              </w:rPr>
              <w:t>Repeated abuse-limit activation is security telemetry and does not automatically create a business AuditEvent for every rejection.</w:t>
            </w:r>
          </w:p>
        </w:tc>
      </w:tr>
      <w:tr>
        <w:trPr>
          <w:cantSplit/>
        </w:trPr>
        <w:tc>
          <w:tcPr>
            <w:tcW w:type="dxa" w:w="5151"/>
            <w:vAlign w:val="top"/>
          </w:tcPr>
          <w:p>
            <w:pPr>
              <w:spacing w:after="0"/>
            </w:pPr>
            <w:r>
              <w:rPr>
                <w:sz w:val="11"/>
              </w:rPr>
              <w:t>SEC-D121</w:t>
            </w:r>
          </w:p>
        </w:tc>
        <w:tc>
          <w:tcPr>
            <w:tcW w:type="dxa" w:w="5151"/>
            <w:vAlign w:val="top"/>
          </w:tcPr>
          <w:p>
            <w:pPr>
              <w:spacing w:after="0"/>
            </w:pPr>
            <w:r>
              <w:rPr>
                <w:sz w:val="11"/>
              </w:rPr>
              <w:t>Encryption and key management</w:t>
            </w:r>
          </w:p>
        </w:tc>
        <w:tc>
          <w:tcPr>
            <w:tcW w:type="dxa" w:w="5151"/>
            <w:vAlign w:val="top"/>
          </w:tcPr>
          <w:p>
            <w:pPr>
              <w:spacing w:after="0"/>
            </w:pPr>
            <w:r>
              <w:rPr>
                <w:sz w:val="11"/>
              </w:rPr>
              <w:t>Room encryption uses a random per-installation database secret that is not derived from the user's password.</w:t>
            </w:r>
          </w:p>
        </w:tc>
      </w:tr>
      <w:tr>
        <w:trPr>
          <w:cantSplit/>
        </w:trPr>
        <w:tc>
          <w:tcPr>
            <w:tcW w:type="dxa" w:w="5151"/>
            <w:vAlign w:val="top"/>
          </w:tcPr>
          <w:p>
            <w:pPr>
              <w:spacing w:after="0"/>
            </w:pPr>
            <w:r>
              <w:rPr>
                <w:sz w:val="11"/>
              </w:rPr>
              <w:t>SEC-D122</w:t>
            </w:r>
          </w:p>
        </w:tc>
        <w:tc>
          <w:tcPr>
            <w:tcW w:type="dxa" w:w="5151"/>
            <w:vAlign w:val="top"/>
          </w:tcPr>
          <w:p>
            <w:pPr>
              <w:spacing w:after="0"/>
            </w:pPr>
            <w:r>
              <w:rPr>
                <w:sz w:val="11"/>
              </w:rPr>
              <w:t>Encryption and key management</w:t>
            </w:r>
          </w:p>
        </w:tc>
        <w:tc>
          <w:tcPr>
            <w:tcW w:type="dxa" w:w="5151"/>
            <w:vAlign w:val="top"/>
          </w:tcPr>
          <w:p>
            <w:pPr>
              <w:spacing w:after="0"/>
            </w:pPr>
            <w:r>
              <w:rPr>
                <w:sz w:val="11"/>
              </w:rPr>
              <w:t>The database secret is wrapped/protected by Android Keystore-backed key material.</w:t>
            </w:r>
          </w:p>
        </w:tc>
      </w:tr>
      <w:tr>
        <w:trPr>
          <w:cantSplit/>
        </w:trPr>
        <w:tc>
          <w:tcPr>
            <w:tcW w:type="dxa" w:w="5151"/>
            <w:vAlign w:val="top"/>
          </w:tcPr>
          <w:p>
            <w:pPr>
              <w:spacing w:after="0"/>
            </w:pPr>
            <w:r>
              <w:rPr>
                <w:sz w:val="11"/>
              </w:rPr>
              <w:t>SEC-D123</w:t>
            </w:r>
          </w:p>
        </w:tc>
        <w:tc>
          <w:tcPr>
            <w:tcW w:type="dxa" w:w="5151"/>
            <w:vAlign w:val="top"/>
          </w:tcPr>
          <w:p>
            <w:pPr>
              <w:spacing w:after="0"/>
            </w:pPr>
            <w:r>
              <w:rPr>
                <w:sz w:val="11"/>
              </w:rPr>
              <w:t>Encryption and key management</w:t>
            </w:r>
          </w:p>
        </w:tc>
        <w:tc>
          <w:tcPr>
            <w:tcW w:type="dxa" w:w="5151"/>
            <w:vAlign w:val="top"/>
          </w:tcPr>
          <w:p>
            <w:pPr>
              <w:spacing w:after="0"/>
            </w:pPr>
            <w:r>
              <w:rPr>
                <w:sz w:val="11"/>
              </w:rPr>
              <w:t>Keystore/database keys are not synchronized to backend and are excluded from Android backup.</w:t>
            </w:r>
          </w:p>
        </w:tc>
      </w:tr>
      <w:tr>
        <w:trPr>
          <w:cantSplit/>
        </w:trPr>
        <w:tc>
          <w:tcPr>
            <w:tcW w:type="dxa" w:w="5151"/>
            <w:vAlign w:val="top"/>
          </w:tcPr>
          <w:p>
            <w:pPr>
              <w:spacing w:after="0"/>
            </w:pPr>
            <w:r>
              <w:rPr>
                <w:sz w:val="11"/>
              </w:rPr>
              <w:t>SEC-D124</w:t>
            </w:r>
          </w:p>
        </w:tc>
        <w:tc>
          <w:tcPr>
            <w:tcW w:type="dxa" w:w="5151"/>
            <w:vAlign w:val="top"/>
          </w:tcPr>
          <w:p>
            <w:pPr>
              <w:spacing w:after="0"/>
            </w:pPr>
            <w:r>
              <w:rPr>
                <w:sz w:val="11"/>
              </w:rPr>
              <w:t>Encryption and key management</w:t>
            </w:r>
          </w:p>
        </w:tc>
        <w:tc>
          <w:tcPr>
            <w:tcW w:type="dxa" w:w="5151"/>
            <w:vAlign w:val="top"/>
          </w:tcPr>
          <w:p>
            <w:pPr>
              <w:spacing w:after="0"/>
            </w:pPr>
            <w:r>
              <w:rPr>
                <w:sz w:val="11"/>
              </w:rPr>
              <w:t>If secure key material becomes permanently unavailable/corrupt, encryption is not bypassed; recovery/re-authentication/re-download is used while preserving recoverable unsynced data where technically possible.</w:t>
            </w:r>
          </w:p>
        </w:tc>
      </w:tr>
      <w:tr>
        <w:trPr>
          <w:cantSplit/>
        </w:trPr>
        <w:tc>
          <w:tcPr>
            <w:tcW w:type="dxa" w:w="5151"/>
            <w:vAlign w:val="top"/>
          </w:tcPr>
          <w:p>
            <w:pPr>
              <w:spacing w:after="0"/>
            </w:pPr>
            <w:r>
              <w:rPr>
                <w:sz w:val="11"/>
              </w:rPr>
              <w:t>SEC-D125</w:t>
            </w:r>
          </w:p>
        </w:tc>
        <w:tc>
          <w:tcPr>
            <w:tcW w:type="dxa" w:w="5151"/>
            <w:vAlign w:val="top"/>
          </w:tcPr>
          <w:p>
            <w:pPr>
              <w:spacing w:after="0"/>
            </w:pPr>
            <w:r>
              <w:rPr>
                <w:sz w:val="11"/>
              </w:rPr>
              <w:t>Encryption and key management</w:t>
            </w:r>
          </w:p>
        </w:tc>
        <w:tc>
          <w:tcPr>
            <w:tcW w:type="dxa" w:w="5151"/>
            <w:vAlign w:val="top"/>
          </w:tcPr>
          <w:p>
            <w:pPr>
              <w:spacing w:after="0"/>
            </w:pPr>
            <w:r>
              <w:rPr>
                <w:sz w:val="11"/>
              </w:rPr>
              <w:t>Local PHOTO Evidence is encrypted at application level in Production using key material protected by Android Keystore, in addition to app-private sandboxing.</w:t>
            </w:r>
          </w:p>
        </w:tc>
      </w:tr>
      <w:tr>
        <w:trPr>
          <w:cantSplit/>
        </w:trPr>
        <w:tc>
          <w:tcPr>
            <w:tcW w:type="dxa" w:w="5151"/>
            <w:vAlign w:val="top"/>
          </w:tcPr>
          <w:p>
            <w:pPr>
              <w:spacing w:after="0"/>
            </w:pPr>
            <w:r>
              <w:rPr>
                <w:sz w:val="11"/>
              </w:rPr>
              <w:t>SEC-D126</w:t>
            </w:r>
          </w:p>
        </w:tc>
        <w:tc>
          <w:tcPr>
            <w:tcW w:type="dxa" w:w="5151"/>
            <w:vAlign w:val="top"/>
          </w:tcPr>
          <w:p>
            <w:pPr>
              <w:spacing w:after="0"/>
            </w:pPr>
            <w:r>
              <w:rPr>
                <w:sz w:val="11"/>
              </w:rPr>
              <w:t>Encryption and key management</w:t>
            </w:r>
          </w:p>
        </w:tc>
        <w:tc>
          <w:tcPr>
            <w:tcW w:type="dxa" w:w="5151"/>
            <w:vAlign w:val="top"/>
          </w:tcPr>
          <w:p>
            <w:pPr>
              <w:spacing w:after="0"/>
            </w:pPr>
            <w:r>
              <w:rPr>
                <w:sz w:val="11"/>
              </w:rPr>
              <w:t>Remote Evidence uses object-storage/platform encryption at rest.</w:t>
            </w:r>
          </w:p>
        </w:tc>
      </w:tr>
      <w:tr>
        <w:trPr>
          <w:cantSplit/>
        </w:trPr>
        <w:tc>
          <w:tcPr>
            <w:tcW w:type="dxa" w:w="5151"/>
            <w:vAlign w:val="top"/>
          </w:tcPr>
          <w:p>
            <w:pPr>
              <w:spacing w:after="0"/>
            </w:pPr>
            <w:r>
              <w:rPr>
                <w:sz w:val="11"/>
              </w:rPr>
              <w:t>SEC-D127</w:t>
            </w:r>
          </w:p>
        </w:tc>
        <w:tc>
          <w:tcPr>
            <w:tcW w:type="dxa" w:w="5151"/>
            <w:vAlign w:val="top"/>
          </w:tcPr>
          <w:p>
            <w:pPr>
              <w:spacing w:after="0"/>
            </w:pPr>
            <w:r>
              <w:rPr>
                <w:sz w:val="11"/>
              </w:rPr>
              <w:t>Encryption and key management</w:t>
            </w:r>
          </w:p>
        </w:tc>
        <w:tc>
          <w:tcPr>
            <w:tcW w:type="dxa" w:w="5151"/>
            <w:vAlign w:val="top"/>
          </w:tcPr>
          <w:p>
            <w:pPr>
              <w:spacing w:after="0"/>
            </w:pPr>
            <w:r>
              <w:rPr>
                <w:sz w:val="11"/>
              </w:rPr>
              <w:t>Production PostgreSQL storage and backups use infrastructure-level encryption at rest.</w:t>
            </w:r>
          </w:p>
        </w:tc>
      </w:tr>
      <w:tr>
        <w:trPr>
          <w:cantSplit/>
        </w:trPr>
        <w:tc>
          <w:tcPr>
            <w:tcW w:type="dxa" w:w="5151"/>
            <w:vAlign w:val="top"/>
          </w:tcPr>
          <w:p>
            <w:pPr>
              <w:spacing w:after="0"/>
            </w:pPr>
            <w:r>
              <w:rPr>
                <w:sz w:val="11"/>
              </w:rPr>
              <w:t>SEC-D128</w:t>
            </w:r>
          </w:p>
        </w:tc>
        <w:tc>
          <w:tcPr>
            <w:tcW w:type="dxa" w:w="5151"/>
            <w:vAlign w:val="top"/>
          </w:tcPr>
          <w:p>
            <w:pPr>
              <w:spacing w:after="0"/>
            </w:pPr>
            <w:r>
              <w:rPr>
                <w:sz w:val="11"/>
              </w:rPr>
              <w:t>Encryption and key management</w:t>
            </w:r>
          </w:p>
        </w:tc>
        <w:tc>
          <w:tcPr>
            <w:tcW w:type="dxa" w:w="5151"/>
            <w:vAlign w:val="top"/>
          </w:tcPr>
          <w:p>
            <w:pPr>
              <w:spacing w:after="0"/>
            </w:pPr>
            <w:r>
              <w:rPr>
                <w:sz w:val="11"/>
              </w:rPr>
              <w:t>Backup encryption keys and Production data-encryption credentials are managed through Production secret/KMS facilities, not source control.</w:t>
            </w:r>
          </w:p>
        </w:tc>
      </w:tr>
      <w:tr>
        <w:trPr>
          <w:cantSplit/>
        </w:trPr>
        <w:tc>
          <w:tcPr>
            <w:tcW w:type="dxa" w:w="5151"/>
            <w:vAlign w:val="top"/>
          </w:tcPr>
          <w:p>
            <w:pPr>
              <w:spacing w:after="0"/>
            </w:pPr>
            <w:r>
              <w:rPr>
                <w:sz w:val="11"/>
              </w:rPr>
              <w:t>SEC-D129</w:t>
            </w:r>
          </w:p>
        </w:tc>
        <w:tc>
          <w:tcPr>
            <w:tcW w:type="dxa" w:w="5151"/>
            <w:vAlign w:val="top"/>
          </w:tcPr>
          <w:p>
            <w:pPr>
              <w:spacing w:after="0"/>
            </w:pPr>
            <w:r>
              <w:rPr>
                <w:sz w:val="11"/>
              </w:rPr>
              <w:t>Backup, restore and environment separation</w:t>
            </w:r>
          </w:p>
        </w:tc>
        <w:tc>
          <w:tcPr>
            <w:tcW w:type="dxa" w:w="5151"/>
            <w:vAlign w:val="top"/>
          </w:tcPr>
          <w:p>
            <w:pPr>
              <w:spacing w:after="0"/>
            </w:pPr>
            <w:r>
              <w:rPr>
                <w:sz w:val="11"/>
              </w:rPr>
              <w:t>Production database backups are encrypted and limited to authorized operators/service identities.</w:t>
            </w:r>
          </w:p>
        </w:tc>
      </w:tr>
      <w:tr>
        <w:trPr>
          <w:cantSplit/>
        </w:trPr>
        <w:tc>
          <w:tcPr>
            <w:tcW w:type="dxa" w:w="5151"/>
            <w:vAlign w:val="top"/>
          </w:tcPr>
          <w:p>
            <w:pPr>
              <w:spacing w:after="0"/>
            </w:pPr>
            <w:r>
              <w:rPr>
                <w:sz w:val="11"/>
              </w:rPr>
              <w:t>SEC-D130</w:t>
            </w:r>
          </w:p>
        </w:tc>
        <w:tc>
          <w:tcPr>
            <w:tcW w:type="dxa" w:w="5151"/>
            <w:vAlign w:val="top"/>
          </w:tcPr>
          <w:p>
            <w:pPr>
              <w:spacing w:after="0"/>
            </w:pPr>
            <w:r>
              <w:rPr>
                <w:sz w:val="11"/>
              </w:rPr>
              <w:t>Backup, restore and environment separation</w:t>
            </w:r>
          </w:p>
        </w:tc>
        <w:tc>
          <w:tcPr>
            <w:tcW w:type="dxa" w:w="5151"/>
            <w:vAlign w:val="top"/>
          </w:tcPr>
          <w:p>
            <w:pPr>
              <w:spacing w:after="0"/>
            </w:pPr>
            <w:r>
              <w:rPr>
                <w:sz w:val="11"/>
              </w:rPr>
              <w:t>Backup restore is privileged, operationally audited and periodically tested; RPO/RTO are governed by Doc20.</w:t>
            </w:r>
          </w:p>
        </w:tc>
      </w:tr>
      <w:tr>
        <w:trPr>
          <w:cantSplit/>
        </w:trPr>
        <w:tc>
          <w:tcPr>
            <w:tcW w:type="dxa" w:w="5151"/>
            <w:vAlign w:val="top"/>
          </w:tcPr>
          <w:p>
            <w:pPr>
              <w:spacing w:after="0"/>
            </w:pPr>
            <w:r>
              <w:rPr>
                <w:sz w:val="11"/>
              </w:rPr>
              <w:t>SEC-D131</w:t>
            </w:r>
          </w:p>
        </w:tc>
        <w:tc>
          <w:tcPr>
            <w:tcW w:type="dxa" w:w="5151"/>
            <w:vAlign w:val="top"/>
          </w:tcPr>
          <w:p>
            <w:pPr>
              <w:spacing w:after="0"/>
            </w:pPr>
            <w:r>
              <w:rPr>
                <w:sz w:val="11"/>
              </w:rPr>
              <w:t>Backup, restore and environment separation</w:t>
            </w:r>
          </w:p>
        </w:tc>
        <w:tc>
          <w:tcPr>
            <w:tcW w:type="dxa" w:w="5151"/>
            <w:vAlign w:val="top"/>
          </w:tcPr>
          <w:p>
            <w:pPr>
              <w:spacing w:after="0"/>
            </w:pPr>
            <w:r>
              <w:rPr>
                <w:sz w:val="11"/>
              </w:rPr>
              <w:t>Android platform/cloud backup excludes auth secrets, encryption keys and protected offline business/Evidence stores.</w:t>
            </w:r>
          </w:p>
        </w:tc>
      </w:tr>
      <w:tr>
        <w:trPr>
          <w:cantSplit/>
        </w:trPr>
        <w:tc>
          <w:tcPr>
            <w:tcW w:type="dxa" w:w="5151"/>
            <w:vAlign w:val="top"/>
          </w:tcPr>
          <w:p>
            <w:pPr>
              <w:spacing w:after="0"/>
            </w:pPr>
            <w:r>
              <w:rPr>
                <w:sz w:val="11"/>
              </w:rPr>
              <w:t>SEC-D132</w:t>
            </w:r>
          </w:p>
        </w:tc>
        <w:tc>
          <w:tcPr>
            <w:tcW w:type="dxa" w:w="5151"/>
            <w:vAlign w:val="top"/>
          </w:tcPr>
          <w:p>
            <w:pPr>
              <w:spacing w:after="0"/>
            </w:pPr>
            <w:r>
              <w:rPr>
                <w:sz w:val="11"/>
              </w:rPr>
              <w:t>Backup, restore and environment separation</w:t>
            </w:r>
          </w:p>
        </w:tc>
        <w:tc>
          <w:tcPr>
            <w:tcW w:type="dxa" w:w="5151"/>
            <w:vAlign w:val="top"/>
          </w:tcPr>
          <w:p>
            <w:pPr>
              <w:spacing w:after="0"/>
            </w:pPr>
            <w:r>
              <w:rPr>
                <w:sz w:val="11"/>
              </w:rPr>
              <w:t>Development/Staging do not use Production snapshots with real business/personal data except through an explicitly authorized and sanitized process.</w:t>
            </w:r>
          </w:p>
        </w:tc>
      </w:tr>
      <w:tr>
        <w:trPr>
          <w:cantSplit/>
        </w:trPr>
        <w:tc>
          <w:tcPr>
            <w:tcW w:type="dxa" w:w="5151"/>
            <w:vAlign w:val="top"/>
          </w:tcPr>
          <w:p>
            <w:pPr>
              <w:spacing w:after="0"/>
            </w:pPr>
            <w:r>
              <w:rPr>
                <w:sz w:val="11"/>
              </w:rPr>
              <w:t>SEC-D133</w:t>
            </w:r>
          </w:p>
        </w:tc>
        <w:tc>
          <w:tcPr>
            <w:tcW w:type="dxa" w:w="5151"/>
            <w:vAlign w:val="top"/>
          </w:tcPr>
          <w:p>
            <w:pPr>
              <w:spacing w:after="0"/>
            </w:pPr>
            <w:r>
              <w:rPr>
                <w:sz w:val="11"/>
              </w:rPr>
              <w:t>Backup, restore and environment separation</w:t>
            </w:r>
          </w:p>
        </w:tc>
        <w:tc>
          <w:tcPr>
            <w:tcW w:type="dxa" w:w="5151"/>
            <w:vAlign w:val="top"/>
          </w:tcPr>
          <w:p>
            <w:pPr>
              <w:spacing w:after="0"/>
            </w:pPr>
            <w:r>
              <w:rPr>
                <w:sz w:val="11"/>
              </w:rPr>
              <w:t>Production API base URL and non-secret environment identifiers may be build configuration; credentials/secrets are never plaintext build constants.</w:t>
            </w:r>
          </w:p>
        </w:tc>
      </w:tr>
      <w:tr>
        <w:trPr>
          <w:cantSplit/>
        </w:trPr>
        <w:tc>
          <w:tcPr>
            <w:tcW w:type="dxa" w:w="5151"/>
            <w:vAlign w:val="top"/>
          </w:tcPr>
          <w:p>
            <w:pPr>
              <w:spacing w:after="0"/>
            </w:pPr>
            <w:r>
              <w:rPr>
                <w:sz w:val="11"/>
              </w:rPr>
              <w:t>SEC-D134</w:t>
            </w:r>
          </w:p>
        </w:tc>
        <w:tc>
          <w:tcPr>
            <w:tcW w:type="dxa" w:w="5151"/>
            <w:vAlign w:val="top"/>
          </w:tcPr>
          <w:p>
            <w:pPr>
              <w:spacing w:after="0"/>
            </w:pPr>
            <w:r>
              <w:rPr>
                <w:sz w:val="11"/>
              </w:rPr>
              <w:t>Backup, restore and environment separation</w:t>
            </w:r>
          </w:p>
        </w:tc>
        <w:tc>
          <w:tcPr>
            <w:tcW w:type="dxa" w:w="5151"/>
            <w:vAlign w:val="top"/>
          </w:tcPr>
          <w:p>
            <w:pPr>
              <w:spacing w:after="0"/>
            </w:pPr>
            <w:r>
              <w:rPr>
                <w:sz w:val="11"/>
              </w:rPr>
              <w:t>Debug and Production builds are separated; debug trust overrides/logging/configuration cannot enter Production artifacts.</w:t>
            </w:r>
          </w:p>
        </w:tc>
      </w:tr>
      <w:tr>
        <w:trPr>
          <w:cantSplit/>
        </w:trPr>
        <w:tc>
          <w:tcPr>
            <w:tcW w:type="dxa" w:w="5151"/>
            <w:vAlign w:val="top"/>
          </w:tcPr>
          <w:p>
            <w:pPr>
              <w:spacing w:after="0"/>
            </w:pPr>
            <w:r>
              <w:rPr>
                <w:sz w:val="11"/>
              </w:rPr>
              <w:t>SEC-D135</w:t>
            </w:r>
          </w:p>
        </w:tc>
        <w:tc>
          <w:tcPr>
            <w:tcW w:type="dxa" w:w="5151"/>
            <w:vAlign w:val="top"/>
          </w:tcPr>
          <w:p>
            <w:pPr>
              <w:spacing w:after="0"/>
            </w:pPr>
            <w:r>
              <w:rPr>
                <w:sz w:val="11"/>
              </w:rPr>
              <w:t>Backup, restore and environment separation</w:t>
            </w:r>
          </w:p>
        </w:tc>
        <w:tc>
          <w:tcPr>
            <w:tcW w:type="dxa" w:w="5151"/>
            <w:vAlign w:val="top"/>
          </w:tcPr>
          <w:p>
            <w:pPr>
              <w:spacing w:after="0"/>
            </w:pPr>
            <w:r>
              <w:rPr>
                <w:sz w:val="11"/>
              </w:rPr>
              <w:t>Production signing material is protected in CI/CD/secure signing infrastructure and never committed.</w:t>
            </w:r>
          </w:p>
        </w:tc>
      </w:tr>
      <w:tr>
        <w:trPr>
          <w:cantSplit/>
        </w:trPr>
        <w:tc>
          <w:tcPr>
            <w:tcW w:type="dxa" w:w="5151"/>
            <w:vAlign w:val="top"/>
          </w:tcPr>
          <w:p>
            <w:pPr>
              <w:spacing w:after="0"/>
            </w:pPr>
            <w:r>
              <w:rPr>
                <w:sz w:val="11"/>
              </w:rPr>
              <w:t>SEC-D136</w:t>
            </w:r>
          </w:p>
        </w:tc>
        <w:tc>
          <w:tcPr>
            <w:tcW w:type="dxa" w:w="5151"/>
            <w:vAlign w:val="top"/>
          </w:tcPr>
          <w:p>
            <w:pPr>
              <w:spacing w:after="0"/>
            </w:pPr>
            <w:r>
              <w:rPr>
                <w:sz w:val="11"/>
              </w:rPr>
              <w:t>Security response and failure behavior</w:t>
            </w:r>
          </w:p>
        </w:tc>
        <w:tc>
          <w:tcPr>
            <w:tcW w:type="dxa" w:w="5151"/>
            <w:vAlign w:val="top"/>
          </w:tcPr>
          <w:p>
            <w:pPr>
              <w:spacing w:after="0"/>
            </w:pPr>
            <w:r>
              <w:rPr>
                <w:sz w:val="11"/>
              </w:rPr>
              <w:t>Protected server operations fail closed on security failure.</w:t>
            </w:r>
          </w:p>
        </w:tc>
      </w:tr>
      <w:tr>
        <w:trPr>
          <w:cantSplit/>
        </w:trPr>
        <w:tc>
          <w:tcPr>
            <w:tcW w:type="dxa" w:w="5151"/>
            <w:vAlign w:val="top"/>
          </w:tcPr>
          <w:p>
            <w:pPr>
              <w:spacing w:after="0"/>
            </w:pPr>
            <w:r>
              <w:rPr>
                <w:sz w:val="11"/>
              </w:rPr>
              <w:t>SEC-D137</w:t>
            </w:r>
          </w:p>
        </w:tc>
        <w:tc>
          <w:tcPr>
            <w:tcW w:type="dxa" w:w="5151"/>
            <w:vAlign w:val="top"/>
          </w:tcPr>
          <w:p>
            <w:pPr>
              <w:spacing w:after="0"/>
            </w:pPr>
            <w:r>
              <w:rPr>
                <w:sz w:val="11"/>
              </w:rPr>
              <w:t>Security response and failure behavior</w:t>
            </w:r>
          </w:p>
        </w:tc>
        <w:tc>
          <w:tcPr>
            <w:tcW w:type="dxa" w:w="5151"/>
            <w:vAlign w:val="top"/>
          </w:tcPr>
          <w:p>
            <w:pPr>
              <w:spacing w:after="0"/>
            </w:pPr>
            <w:r>
              <w:rPr>
                <w:sz w:val="11"/>
              </w:rPr>
              <w:t>Network failure is not an authorization failure; previously authorized offline work continues only within the frozen offline package.</w:t>
            </w:r>
          </w:p>
        </w:tc>
      </w:tr>
      <w:tr>
        <w:trPr>
          <w:cantSplit/>
        </w:trPr>
        <w:tc>
          <w:tcPr>
            <w:tcW w:type="dxa" w:w="5151"/>
            <w:vAlign w:val="top"/>
          </w:tcPr>
          <w:p>
            <w:pPr>
              <w:spacing w:after="0"/>
            </w:pPr>
            <w:r>
              <w:rPr>
                <w:sz w:val="11"/>
              </w:rPr>
              <w:t>SEC-D138</w:t>
            </w:r>
          </w:p>
        </w:tc>
        <w:tc>
          <w:tcPr>
            <w:tcW w:type="dxa" w:w="5151"/>
            <w:vAlign w:val="top"/>
          </w:tcPr>
          <w:p>
            <w:pPr>
              <w:spacing w:after="0"/>
            </w:pPr>
            <w:r>
              <w:rPr>
                <w:sz w:val="11"/>
              </w:rPr>
              <w:t>Security response and failure behavior</w:t>
            </w:r>
          </w:p>
        </w:tc>
        <w:tc>
          <w:tcPr>
            <w:tcW w:type="dxa" w:w="5151"/>
            <w:vAlign w:val="top"/>
          </w:tcPr>
          <w:p>
            <w:pPr>
              <w:spacing w:after="0"/>
            </w:pPr>
            <w:r>
              <w:rPr>
                <w:sz w:val="11"/>
              </w:rPr>
              <w:t>401 triggers one secure refresh attempt; failure returns to Sign In.</w:t>
            </w:r>
          </w:p>
        </w:tc>
      </w:tr>
      <w:tr>
        <w:trPr>
          <w:cantSplit/>
        </w:trPr>
        <w:tc>
          <w:tcPr>
            <w:tcW w:type="dxa" w:w="5151"/>
            <w:vAlign w:val="top"/>
          </w:tcPr>
          <w:p>
            <w:pPr>
              <w:spacing w:after="0"/>
            </w:pPr>
            <w:r>
              <w:rPr>
                <w:sz w:val="11"/>
              </w:rPr>
              <w:t>SEC-D139</w:t>
            </w:r>
          </w:p>
        </w:tc>
        <w:tc>
          <w:tcPr>
            <w:tcW w:type="dxa" w:w="5151"/>
            <w:vAlign w:val="top"/>
          </w:tcPr>
          <w:p>
            <w:pPr>
              <w:spacing w:after="0"/>
            </w:pPr>
            <w:r>
              <w:rPr>
                <w:sz w:val="11"/>
              </w:rPr>
              <w:t>Security response and failure behavior</w:t>
            </w:r>
          </w:p>
        </w:tc>
        <w:tc>
          <w:tcPr>
            <w:tcW w:type="dxa" w:w="5151"/>
            <w:vAlign w:val="top"/>
          </w:tcPr>
          <w:p>
            <w:pPr>
              <w:spacing w:after="0"/>
            </w:pPr>
            <w:r>
              <w:rPr>
                <w:sz w:val="11"/>
              </w:rPr>
              <w:t>403 is not blindly retried; the operation remains rejected until authorization context changes.</w:t>
            </w:r>
          </w:p>
        </w:tc>
      </w:tr>
      <w:tr>
        <w:trPr>
          <w:cantSplit/>
        </w:trPr>
        <w:tc>
          <w:tcPr>
            <w:tcW w:type="dxa" w:w="5151"/>
            <w:vAlign w:val="top"/>
          </w:tcPr>
          <w:p>
            <w:pPr>
              <w:spacing w:after="0"/>
            </w:pPr>
            <w:r>
              <w:rPr>
                <w:sz w:val="11"/>
              </w:rPr>
              <w:t>SEC-D140</w:t>
            </w:r>
          </w:p>
        </w:tc>
        <w:tc>
          <w:tcPr>
            <w:tcW w:type="dxa" w:w="5151"/>
            <w:vAlign w:val="top"/>
          </w:tcPr>
          <w:p>
            <w:pPr>
              <w:spacing w:after="0"/>
            </w:pPr>
            <w:r>
              <w:rPr>
                <w:sz w:val="11"/>
              </w:rPr>
              <w:t>Security response and failure behavior</w:t>
            </w:r>
          </w:p>
        </w:tc>
        <w:tc>
          <w:tcPr>
            <w:tcW w:type="dxa" w:w="5151"/>
            <w:vAlign w:val="top"/>
          </w:tcPr>
          <w:p>
            <w:pPr>
              <w:spacing w:after="0"/>
            </w:pPr>
            <w:r>
              <w:rPr>
                <w:sz w:val="11"/>
              </w:rPr>
              <w:t>Cross-tenant/resource authorization failure must not disclose protected resource existence or metadata.</w:t>
            </w:r>
          </w:p>
        </w:tc>
      </w:tr>
      <w:tr>
        <w:trPr>
          <w:cantSplit/>
        </w:trPr>
        <w:tc>
          <w:tcPr>
            <w:tcW w:type="dxa" w:w="5151"/>
            <w:vAlign w:val="top"/>
          </w:tcPr>
          <w:p>
            <w:pPr>
              <w:spacing w:after="0"/>
            </w:pPr>
            <w:r>
              <w:rPr>
                <w:sz w:val="11"/>
              </w:rPr>
              <w:t>SEC-D141</w:t>
            </w:r>
          </w:p>
        </w:tc>
        <w:tc>
          <w:tcPr>
            <w:tcW w:type="dxa" w:w="5151"/>
            <w:vAlign w:val="top"/>
          </w:tcPr>
          <w:p>
            <w:pPr>
              <w:spacing w:after="0"/>
            </w:pPr>
            <w:r>
              <w:rPr>
                <w:sz w:val="11"/>
              </w:rPr>
              <w:t>Security response and failure behavior</w:t>
            </w:r>
          </w:p>
        </w:tc>
        <w:tc>
          <w:tcPr>
            <w:tcW w:type="dxa" w:w="5151"/>
            <w:vAlign w:val="top"/>
          </w:tcPr>
          <w:p>
            <w:pPr>
              <w:spacing w:after="0"/>
            </w:pPr>
            <w:r>
              <w:rPr>
                <w:sz w:val="11"/>
              </w:rPr>
              <w:t>Suspected integrity compromise is never bypassed by ignoring hash/verification; affected operations block and use safe recovery/re-download.</w:t>
            </w:r>
          </w:p>
        </w:tc>
      </w:tr>
      <w:tr>
        <w:trPr>
          <w:cantSplit/>
        </w:trPr>
        <w:tc>
          <w:tcPr>
            <w:tcW w:type="dxa" w:w="5151"/>
            <w:vAlign w:val="top"/>
          </w:tcPr>
          <w:p>
            <w:pPr>
              <w:spacing w:after="0"/>
            </w:pPr>
            <w:r>
              <w:rPr>
                <w:sz w:val="11"/>
              </w:rPr>
              <w:t>SEC-D142</w:t>
            </w:r>
          </w:p>
        </w:tc>
        <w:tc>
          <w:tcPr>
            <w:tcW w:type="dxa" w:w="5151"/>
            <w:vAlign w:val="top"/>
          </w:tcPr>
          <w:p>
            <w:pPr>
              <w:spacing w:after="0"/>
            </w:pPr>
            <w:r>
              <w:rPr>
                <w:sz w:val="11"/>
              </w:rPr>
              <w:t>Security response and failure behavior</w:t>
            </w:r>
          </w:p>
        </w:tc>
        <w:tc>
          <w:tcPr>
            <w:tcW w:type="dxa" w:w="5151"/>
            <w:vAlign w:val="top"/>
          </w:tcPr>
          <w:p>
            <w:pPr>
              <w:spacing w:after="0"/>
            </w:pPr>
            <w:r>
              <w:rPr>
                <w:sz w:val="11"/>
              </w:rPr>
              <w:t>Rejected offline mutations preserve attempted local state required for conflict/recovery and are never represented as authoritative success.</w:t>
            </w:r>
          </w:p>
        </w:tc>
      </w:tr>
      <w:tr>
        <w:trPr>
          <w:cantSplit/>
        </w:trPr>
        <w:tc>
          <w:tcPr>
            <w:tcW w:type="dxa" w:w="5151"/>
            <w:vAlign w:val="top"/>
          </w:tcPr>
          <w:p>
            <w:pPr>
              <w:spacing w:after="0"/>
            </w:pPr>
            <w:r>
              <w:rPr>
                <w:sz w:val="11"/>
              </w:rPr>
              <w:t>SEC-D143</w:t>
            </w:r>
          </w:p>
        </w:tc>
        <w:tc>
          <w:tcPr>
            <w:tcW w:type="dxa" w:w="5151"/>
            <w:vAlign w:val="top"/>
          </w:tcPr>
          <w:p>
            <w:pPr>
              <w:spacing w:after="0"/>
            </w:pPr>
            <w:r>
              <w:rPr>
                <w:sz w:val="11"/>
              </w:rPr>
              <w:t>Security response and failure behavior</w:t>
            </w:r>
          </w:p>
        </w:tc>
        <w:tc>
          <w:tcPr>
            <w:tcW w:type="dxa" w:w="5151"/>
            <w:vAlign w:val="top"/>
          </w:tcPr>
          <w:p>
            <w:pPr>
              <w:spacing w:after="0"/>
            </w:pPr>
            <w:r>
              <w:rPr>
                <w:sz w:val="11"/>
              </w:rPr>
              <w:t>Unexpected server errors return the generic API error envelope while detailed diagnostics remain protected server-side.</w:t>
            </w:r>
          </w:p>
        </w:tc>
      </w:tr>
      <w:tr>
        <w:trPr>
          <w:cantSplit/>
        </w:trPr>
        <w:tc>
          <w:tcPr>
            <w:tcW w:type="dxa" w:w="5151"/>
            <w:vAlign w:val="top"/>
          </w:tcPr>
          <w:p>
            <w:pPr>
              <w:spacing w:after="0"/>
            </w:pPr>
            <w:r>
              <w:rPr>
                <w:sz w:val="11"/>
              </w:rPr>
              <w:t>SEC-D144</w:t>
            </w:r>
          </w:p>
        </w:tc>
        <w:tc>
          <w:tcPr>
            <w:tcW w:type="dxa" w:w="5151"/>
            <w:vAlign w:val="top"/>
          </w:tcPr>
          <w:p>
            <w:pPr>
              <w:spacing w:after="0"/>
            </w:pPr>
            <w:r>
              <w:rPr>
                <w:sz w:val="11"/>
              </w:rPr>
              <w:t>Security response and failure behavior</w:t>
            </w:r>
          </w:p>
        </w:tc>
        <w:tc>
          <w:tcPr>
            <w:tcW w:type="dxa" w:w="5151"/>
            <w:vAlign w:val="top"/>
          </w:tcPr>
          <w:p>
            <w:pPr>
              <w:spacing w:after="0"/>
            </w:pPr>
            <w:r>
              <w:rPr>
                <w:sz w:val="11"/>
              </w:rPr>
              <w:t>Security-sensitive errors never expose password/token internals, SQL, stack traces or object-storage details to the user.</w:t>
            </w:r>
          </w:p>
        </w:tc>
      </w:tr>
    </w:tbl>
    <w:p>
      <w:pPr>
        <w:spacing w:after="20"/>
      </w:pPr>
    </w:p>
    <w:p>
      <w:pPr>
        <w:pStyle w:val="Heading1"/>
      </w:pPr>
      <w:r>
        <w:t>26. Cross-document handoff</w:t>
      </w:r>
    </w:p>
    <w:p>
      <w:pPr>
        <w:pStyle w:val="ListBullet"/>
        <w:spacing w:after="12"/>
      </w:pPr>
      <w:r>
        <w:t>Doc18 Test Strategy &amp; Acceptance must make the security test matrix and release gates executable/traceable.</w:t>
      </w:r>
    </w:p>
    <w:p>
      <w:pPr>
        <w:pStyle w:val="ListBullet"/>
        <w:spacing w:after="12"/>
      </w:pPr>
      <w:r>
        <w:t>Doc19 Retention Policy must assign exact retention/purge behavior to security telemetry, diagnostics, profile data and all already-frozen long-term records without weakening immutable history.</w:t>
      </w:r>
    </w:p>
    <w:p>
      <w:pPr>
        <w:pStyle w:val="ListBullet"/>
        <w:spacing w:after="12"/>
      </w:pPr>
      <w:r>
        <w:t>Doc20 Production Operations must implement secret management, encrypted backup/restore, monitoring/alerting, environment separation, release controls and incident/operational procedures consistent with this document.</w:t>
      </w:r>
    </w:p>
    <w:p>
      <w:pPr>
        <w:pStyle w:val="ListBullet"/>
        <w:spacing w:after="12"/>
      </w:pPr>
      <w:r>
        <w:t>Security changes that alter authentication factors, token policy, encryption model, authorization boundaries or retained-history semantics require explicit contract change and cross-document consistency review.</w:t>
      </w:r>
    </w:p>
    <w:p>
      <w:pPr>
        <w:pStyle w:val="Heading1"/>
      </w:pPr>
      <w:r>
        <w:t>27. Freeze statement</w:t>
      </w:r>
    </w:p>
    <w:p>
      <w:pPr>
        <w:spacing w:after="40"/>
      </w:pPr>
      <w:r>
        <w:t>After explicit approval, this document freezes the SiloMath V6 security, audit and privacy contract defined by SEC-D01-SEC-D144, including authorization boundaries, 15-minute access tokens, 30-day refresh/session maximum, Production Room and local PHOTO encryption, privacy minimization, append-only audit rules, safe telemetry, throttling/reset controls, encrypted infrastructure storage/backups and fail-closed security behavior.</w:t>
      </w:r>
    </w:p>
    <w:sectPr w:rsidR="00FC693F" w:rsidRPr="0006063C" w:rsidSect="00034616">
      <w:headerReference w:type="default" r:id="rId9"/>
      <w:footerReference w:type="default" r:id="rId10"/>
      <w:pgSz w:w="16834" w:h="11909" w:orient="landscape"/>
      <w:pgMar w:top="691" w:right="691" w:bottom="691" w:left="6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4"/>
      </w:rPr>
      <w:t>SiloMath V6 • 17_SECURITY_AUDIT_PRIVACY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sz w:val="14"/>
      </w:rPr>
      <w:t>SiloMath V6 • Security / Audit / Privacy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