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t>SiloMath V6</w:t>
        <w:br/>
        <w:t>UI Design System</w:t>
      </w:r>
    </w:p>
    <w:p>
      <w:pPr>
        <w:spacing w:after="80" w:line="252" w:lineRule="auto"/>
        <w:jc w:val="center"/>
      </w:pPr>
      <w:r>
        <w:rPr>
          <w:b/>
          <w:color w:val="0F3460"/>
          <w:sz w:val="22"/>
        </w:rPr>
        <w:t>Document 21  •  V6 UI Design System 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Status</w:t>
            </w:r>
          </w:p>
        </w:tc>
        <w:tc>
          <w:tcPr>
            <w:tcW w:type="dxa" w:w="5112"/>
            <w:vAlign w:val="center"/>
          </w:tcPr>
          <w:p>
            <w:r>
              <w:t>APPROVED / FROZEN V6</w:t>
            </w:r>
          </w:p>
        </w:tc>
        <w:trPr>
          <w:tblHeader/>
        </w:trPr>
      </w:tr>
      <w:tr>
        <w:tc>
          <w:tcPr>
            <w:tcW w:type="dxa" w:w="5112"/>
            <w:vAlign w:val="center"/>
          </w:tcPr>
          <w:p>
            <w:r>
              <w:rPr>
                <w:b/>
              </w:rPr>
              <w:t>Product</w:t>
            </w:r>
          </w:p>
        </w:tc>
        <w:tc>
          <w:tcPr>
            <w:tcW w:type="dxa" w:w="5112"/>
            <w:vAlign w:val="center"/>
          </w:tcPr>
          <w:p>
            <w:r>
              <w:t>SiloMath</w:t>
            </w:r>
          </w:p>
        </w:tc>
      </w:tr>
      <w:tr>
        <w:tc>
          <w:tcPr>
            <w:tcW w:type="dxa" w:w="5112"/>
            <w:vAlign w:val="center"/>
          </w:tcPr>
          <w:p>
            <w:r>
              <w:rPr>
                <w:b/>
              </w:rPr>
              <w:t>Platform</w:t>
            </w:r>
          </w:p>
        </w:tc>
        <w:tc>
          <w:tcPr>
            <w:tcW w:type="dxa" w:w="5112"/>
            <w:vAlign w:val="center"/>
          </w:tcPr>
          <w:p>
            <w:r>
              <w:t>Android native</w:t>
            </w:r>
          </w:p>
        </w:tc>
      </w:tr>
      <w:tr>
        <w:tc>
          <w:tcPr>
            <w:tcW w:type="dxa" w:w="5112"/>
            <w:vAlign w:val="center"/>
          </w:tcPr>
          <w:p>
            <w:r>
              <w:rPr>
                <w:b/>
              </w:rPr>
              <w:t>UI toolkit</w:t>
            </w:r>
          </w:p>
        </w:tc>
        <w:tc>
          <w:tcPr>
            <w:tcW w:type="dxa" w:w="5112"/>
            <w:vAlign w:val="center"/>
          </w:tcPr>
          <w:p>
            <w:r>
              <w:t>Jetpack Compose</w:t>
            </w:r>
          </w:p>
        </w:tc>
      </w:tr>
      <w:tr>
        <w:tc>
          <w:tcPr>
            <w:tcW w:type="dxa" w:w="5112"/>
            <w:vAlign w:val="center"/>
          </w:tcPr>
          <w:p>
            <w:r>
              <w:rPr>
                <w:b/>
              </w:rPr>
              <w:t>Normative role</w:t>
            </w:r>
          </w:p>
        </w:tc>
        <w:tc>
          <w:tcPr>
            <w:tcW w:type="dxa" w:w="5112"/>
            <w:vAlign w:val="center"/>
          </w:tcPr>
          <w:p>
            <w:r>
              <w:t>Canonical visual-design authority for SiloMath V6</w:t>
            </w:r>
          </w:p>
        </w:tc>
      </w:tr>
    </w:tbl>
    <w:p>
      <w:pPr>
        <w:pStyle w:val="Heading1"/>
        <w:keepNext/>
        <w:spacing w:after="80" w:line="252" w:lineRule="auto" w:before="200"/>
      </w:pPr>
      <w:r>
        <w:t>1. Purpose</w:t>
      </w:r>
    </w:p>
    <w:p>
      <w:pPr>
        <w:spacing w:after="80" w:line="252" w:lineRule="auto"/>
      </w:pPr>
      <w:r>
        <w:t>This document defines the global visual system used to implement the approved SiloMath V6 user interface consistently across phones and tablets.</w:t>
      </w:r>
    </w:p>
    <w:p>
      <w:pPr>
        <w:spacing w:after="80" w:line="252" w:lineRule="auto"/>
      </w:pPr>
      <w:r>
        <w:t>Document 06 remains the canonical authority for:</w:t>
      </w:r>
    </w:p>
    <w:p>
      <w:pPr>
        <w:pStyle w:val="ListBullet"/>
        <w:spacing w:after="80" w:line="252" w:lineRule="auto"/>
      </w:pPr>
      <w:r>
        <w:t>screen and sheet inventory;</w:t>
      </w:r>
    </w:p>
    <w:p>
      <w:pPr>
        <w:pStyle w:val="ListBullet"/>
        <w:spacing w:after="80" w:line="252" w:lineRule="auto"/>
      </w:pPr>
      <w:r>
        <w:t>fields and controls;</w:t>
      </w:r>
    </w:p>
    <w:p>
      <w:pPr>
        <w:pStyle w:val="ListBullet"/>
        <w:spacing w:after="80" w:line="252" w:lineRule="auto"/>
      </w:pPr>
      <w:r>
        <w:t>navigation and back behavior;</w:t>
      </w:r>
    </w:p>
    <w:p>
      <w:pPr>
        <w:pStyle w:val="ListBullet"/>
        <w:spacing w:after="80" w:line="252" w:lineRule="auto"/>
      </w:pPr>
      <w:r>
        <w:t>permissions;</w:t>
      </w:r>
    </w:p>
    <w:p>
      <w:pPr>
        <w:pStyle w:val="ListBullet"/>
        <w:spacing w:after="80" w:line="252" w:lineRule="auto"/>
      </w:pPr>
      <w:r>
        <w:t>UI states;</w:t>
      </w:r>
    </w:p>
    <w:p>
      <w:pPr>
        <w:pStyle w:val="ListBullet"/>
        <w:spacing w:after="80" w:line="252" w:lineRule="auto"/>
      </w:pPr>
      <w:r>
        <w:t>validation;</w:t>
      </w:r>
    </w:p>
    <w:p>
      <w:pPr>
        <w:pStyle w:val="ListBullet"/>
        <w:spacing w:after="80" w:line="252" w:lineRule="auto"/>
      </w:pPr>
      <w:r>
        <w:t>offline behavior;</w:t>
      </w:r>
    </w:p>
    <w:p>
      <w:pPr>
        <w:pStyle w:val="ListBullet"/>
        <w:spacing w:after="80" w:line="252" w:lineRule="auto"/>
      </w:pPr>
      <w:r>
        <w:t>screen-specific acceptance criteria.</w:t>
      </w:r>
    </w:p>
    <w:p>
      <w:pPr>
        <w:spacing w:after="80" w:line="252" w:lineRule="auto"/>
      </w:pPr>
      <w:r>
        <w:t>Document 21 defines how those approved elements are presented visually. It is the canonical authority for visual tokens, typography, spacing, shapes, shared component presentation, accessibility presentation, and adaptive visual rules.</w:t>
      </w:r>
    </w:p>
    <w:p>
      <w:pPr>
        <w:spacing w:after="80" w:line="252" w:lineRule="auto"/>
      </w:pPr>
      <w:r>
        <w:t>Documents 01–21 form the authoritative SiloMath V6 documentation set. Authority is domain-specific: Document 06 remains canonical for UI inventory, navigation, behavior, permissions, fields, states, and acceptance criteria; Document 21 is canonical for visual presentation. If Document 21 conflicts with Documents 01–20 on product semantics or behavior, Documents 01–20 prevail and the conflict must be reported rather than interpreted away.</w:t>
      </w:r>
    </w:p>
    <w:p>
      <w:pPr>
        <w:spacing w:after="80" w:line="252" w:lineRule="auto"/>
      </w:pPr>
      <w:r>
        <w:t>The visual tokens frozen in this document are approved SiloMath V6 visual-design decisions. They are not retroactively represented as requirements originating in Documents 01–20.</w:t>
      </w:r>
    </w:p>
    <w:p>
      <w:pPr>
        <w:spacing w:after="80" w:line="252" w:lineRule="auto"/>
      </w:pPr>
      <w:r>
        <w:t>No visual component may introduce a new business concept merely because that concept appears in an example, mockup, icon, status color, label, or design-system component.</w:t>
      </w:r>
    </w:p>
    <w:p>
      <w:pPr>
        <w:pStyle w:val="Heading1"/>
        <w:keepNext/>
        <w:spacing w:after="80" w:line="252" w:lineRule="auto" w:before="200"/>
      </w:pPr>
      <w:r>
        <w:t>2. Design Principles</w:t>
      </w:r>
    </w:p>
    <w:p>
      <w:pPr>
        <w:pStyle w:val="Heading2"/>
        <w:keepNext/>
        <w:spacing w:after="80" w:line="252" w:lineRule="auto" w:before="200"/>
      </w:pPr>
      <w:r>
        <w:t>2.1 Industrial B2B</w:t>
      </w:r>
    </w:p>
    <w:p>
      <w:pPr>
        <w:spacing w:after="80" w:line="252" w:lineRule="auto"/>
      </w:pPr>
      <w:r>
        <w:t>SiloMath uses a professional, restrained, high-legibility visual language suitable for physical inventory work in industrial bulk-storage environments.</w:t>
      </w:r>
    </w:p>
    <w:p>
      <w:pPr>
        <w:pStyle w:val="Heading2"/>
        <w:keepNext/>
        <w:spacing w:after="80" w:line="252" w:lineRule="auto" w:before="200"/>
      </w:pPr>
      <w:r>
        <w:t>2.2 Operational clarity</w:t>
      </w:r>
    </w:p>
    <w:p>
      <w:pPr>
        <w:spacing w:after="80" w:line="252" w:lineRule="auto"/>
      </w:pPr>
      <w:r>
        <w:t>The interface prioritizes identification, measurement, validation, sync state, issue state, and traceability over decoration.</w:t>
      </w:r>
    </w:p>
    <w:p>
      <w:pPr>
        <w:pStyle w:val="Heading2"/>
        <w:keepNext/>
        <w:spacing w:after="80" w:line="252" w:lineRule="auto" w:before="200"/>
      </w:pPr>
      <w:r>
        <w:t>2.3 No superfluous chrome</w:t>
      </w:r>
    </w:p>
    <w:p>
      <w:pPr>
        <w:spacing w:after="80" w:line="252" w:lineRule="auto"/>
      </w:pPr>
      <w:r>
        <w:t>Avoid:</w:t>
      </w:r>
    </w:p>
    <w:p>
      <w:pPr>
        <w:pStyle w:val="ListBullet"/>
        <w:spacing w:after="80" w:line="252" w:lineRule="auto"/>
      </w:pPr>
      <w:r>
        <w:t>decorative gradients;</w:t>
      </w:r>
    </w:p>
    <w:p>
      <w:pPr>
        <w:pStyle w:val="ListBullet"/>
        <w:spacing w:after="80" w:line="252" w:lineRule="auto"/>
      </w:pPr>
      <w:r>
        <w:t>glassmorphism;</w:t>
      </w:r>
    </w:p>
    <w:p>
      <w:pPr>
        <w:pStyle w:val="ListBullet"/>
        <w:spacing w:after="80" w:line="252" w:lineRule="auto"/>
      </w:pPr>
      <w:r>
        <w:t>backdrop blur;</w:t>
      </w:r>
    </w:p>
    <w:p>
      <w:pPr>
        <w:pStyle w:val="ListBullet"/>
        <w:spacing w:after="80" w:line="252" w:lineRule="auto"/>
      </w:pPr>
      <w:r>
        <w:t>ambient glow;</w:t>
      </w:r>
    </w:p>
    <w:p>
      <w:pPr>
        <w:pStyle w:val="ListBullet"/>
        <w:spacing w:after="80" w:line="252" w:lineRule="auto"/>
      </w:pPr>
      <w:r>
        <w:t>decorative telemetry;</w:t>
      </w:r>
    </w:p>
    <w:p>
      <w:pPr>
        <w:pStyle w:val="ListBullet"/>
        <w:spacing w:after="80" w:line="252" w:lineRule="auto"/>
      </w:pPr>
      <w:r>
        <w:t>ornamental charts without an approved data purpose;</w:t>
      </w:r>
    </w:p>
    <w:p>
      <w:pPr>
        <w:pStyle w:val="ListBullet"/>
        <w:spacing w:after="80" w:line="252" w:lineRule="auto"/>
      </w:pPr>
      <w:r>
        <w:t>excessive shadows;</w:t>
      </w:r>
    </w:p>
    <w:p>
      <w:pPr>
        <w:pStyle w:val="ListBullet"/>
        <w:spacing w:after="80" w:line="252" w:lineRule="auto"/>
      </w:pPr>
      <w:r>
        <w:t>animation that does not communicate state or navigation.</w:t>
      </w:r>
    </w:p>
    <w:p>
      <w:pPr>
        <w:spacing w:after="80" w:line="252" w:lineRule="auto"/>
      </w:pPr>
      <w:r>
        <w:t>Surfaces are predominantly opaque, structurally separated by spacing, tonal contrast, and subtle borders.</w:t>
      </w:r>
    </w:p>
    <w:p>
      <w:pPr>
        <w:pStyle w:val="Heading2"/>
        <w:keepNext/>
        <w:spacing w:after="80" w:line="252" w:lineRule="auto" w:before="200"/>
      </w:pPr>
      <w:r>
        <w:t>2.4 Status is never color-only</w:t>
      </w:r>
    </w:p>
    <w:p>
      <w:pPr>
        <w:spacing w:after="80" w:line="252" w:lineRule="auto"/>
      </w:pPr>
      <w:r>
        <w:t>Critical state must always include text and/or an icon in addition to color.</w:t>
      </w:r>
    </w:p>
    <w:p>
      <w:pPr>
        <w:pStyle w:val="Heading2"/>
        <w:keepNext/>
        <w:spacing w:after="80" w:line="252" w:lineRule="auto" w:before="200"/>
      </w:pPr>
      <w:r>
        <w:t>2.5 Field usability</w:t>
      </w:r>
    </w:p>
    <w:p>
      <w:pPr>
        <w:spacing w:after="80" w:line="252" w:lineRule="auto"/>
      </w:pPr>
      <w:r>
        <w:t>Controls must remain usable in field conditions:</w:t>
      </w:r>
    </w:p>
    <w:p>
      <w:pPr>
        <w:pStyle w:val="ListBullet"/>
        <w:spacing w:after="80" w:line="252" w:lineRule="auto"/>
      </w:pPr>
      <w:r>
        <w:t>minimum interactive target: 48dp × 48dp;</w:t>
      </w:r>
    </w:p>
    <w:p>
      <w:pPr>
        <w:pStyle w:val="ListBullet"/>
        <w:spacing w:after="80" w:line="252" w:lineRule="auto"/>
      </w:pPr>
      <w:r>
        <w:t>strong contrast;</w:t>
      </w:r>
    </w:p>
    <w:p>
      <w:pPr>
        <w:pStyle w:val="ListBullet"/>
        <w:spacing w:after="80" w:line="252" w:lineRule="auto"/>
      </w:pPr>
      <w:r>
        <w:t>explicit units for numeric measurements;</w:t>
      </w:r>
    </w:p>
    <w:p>
      <w:pPr>
        <w:pStyle w:val="ListBullet"/>
        <w:spacing w:after="80" w:line="252" w:lineRule="auto"/>
      </w:pPr>
      <w:r>
        <w:t>obvious editable vs read-only presentation;</w:t>
      </w:r>
    </w:p>
    <w:p>
      <w:pPr>
        <w:pStyle w:val="ListBullet"/>
        <w:spacing w:after="80" w:line="252" w:lineRule="auto"/>
      </w:pPr>
      <w:r>
        <w:t>predictable placement of primary actions.</w:t>
      </w:r>
    </w:p>
    <w:p>
      <w:pPr>
        <w:pStyle w:val="Heading2"/>
        <w:keepNext/>
        <w:spacing w:after="80" w:line="252" w:lineRule="auto" w:before="200"/>
      </w:pPr>
      <w:r>
        <w:t>2.6 V6 terminology only</w:t>
      </w:r>
    </w:p>
    <w:p>
      <w:pPr>
        <w:spacing w:after="80" w:line="252" w:lineRule="auto"/>
      </w:pPr>
      <w:r>
        <w:t>Visual examples and reusable components must use canonical V6 terminology. Do not introduce Reconciliation, Draft Campaign, Upcoming, In Progress campaign status, LiDAR, ultrasonic sensing, temperature telemetry, seal breach, recount, book-stock variance, calibration charts, or other unapproved concepts.</w:t>
      </w:r>
    </w:p>
    <w:p>
      <w:pPr>
        <w:pStyle w:val="Heading1"/>
        <w:keepNext/>
        <w:spacing w:after="80" w:line="252" w:lineRule="auto" w:before="200"/>
      </w:pPr>
      <w:r>
        <w:t>3. Visual Foundation</w:t>
      </w:r>
    </w:p>
    <w:p>
      <w:pPr>
        <w:pStyle w:val="Heading2"/>
        <w:keepNext/>
        <w:spacing w:after="80" w:line="252" w:lineRule="auto" w:before="200"/>
      </w:pPr>
      <w:r>
        <w:t>3.1 Color Tokens</w:t>
      </w:r>
    </w:p>
    <w:p>
      <w:pPr>
        <w:spacing w:after="80" w:line="252" w:lineRule="auto"/>
      </w:pPr>
      <w:r>
        <w:t>The palette is a restrained slate/white foundation with a deep cobalt primary accent.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Pr>
          <w:p>
            <w:r>
              <w:rPr>
                <w:b/>
              </w:rPr>
              <w:t>Token</w:t>
            </w:r>
          </w:p>
        </w:tc>
        <w:tc>
          <w:tcPr>
            <w:tcW w:type="dxa" w:w="3408"/>
          </w:tcPr>
          <w:p>
            <w:r>
              <w:rPr>
                <w:b/>
              </w:rPr>
              <w:t>Value</w:t>
            </w:r>
          </w:p>
        </w:tc>
        <w:tc>
          <w:tcPr>
            <w:tcW w:type="dxa" w:w="3408"/>
          </w:tcPr>
          <w:p>
            <w:r>
              <w:rPr>
                <w:b/>
              </w:rPr>
              <w:t>Use</w:t>
            </w:r>
          </w:p>
        </w:tc>
      </w:tr>
      <w:tr>
        <w:tc>
          <w:tcPr>
            <w:tcW w:type="dxa" w:w="3408"/>
          </w:tcPr>
          <w:p>
            <w:r>
              <w:t>color.background</w:t>
            </w:r>
          </w:p>
        </w:tc>
        <w:tc>
          <w:tcPr>
            <w:tcW w:type="dxa" w:w="3408"/>
          </w:tcPr>
          <w:p>
            <w:r>
              <w:t>#F8FAFC</w:t>
            </w:r>
          </w:p>
        </w:tc>
        <w:tc>
          <w:tcPr>
            <w:tcW w:type="dxa" w:w="3408"/>
          </w:tcPr>
          <w:p>
            <w:r>
              <w:t>Main application canvas</w:t>
            </w:r>
          </w:p>
        </w:tc>
      </w:tr>
      <w:tr>
        <w:tc>
          <w:tcPr>
            <w:tcW w:type="dxa" w:w="3408"/>
          </w:tcPr>
          <w:p>
            <w:r>
              <w:t>color.surface</w:t>
            </w:r>
          </w:p>
        </w:tc>
        <w:tc>
          <w:tcPr>
            <w:tcW w:type="dxa" w:w="3408"/>
          </w:tcPr>
          <w:p>
            <w:r>
              <w:t>#FFFFFF</w:t>
            </w:r>
          </w:p>
        </w:tc>
        <w:tc>
          <w:tcPr>
            <w:tcW w:type="dxa" w:w="3408"/>
          </w:tcPr>
          <w:p>
            <w:r>
              <w:t>Cards, panels, fields, sheets</w:t>
            </w:r>
          </w:p>
        </w:tc>
      </w:tr>
      <w:tr>
        <w:tc>
          <w:tcPr>
            <w:tcW w:type="dxa" w:w="3408"/>
          </w:tcPr>
          <w:p>
            <w:r>
              <w:t>color.surfaceSubtle</w:t>
            </w:r>
          </w:p>
        </w:tc>
        <w:tc>
          <w:tcPr>
            <w:tcW w:type="dxa" w:w="3408"/>
          </w:tcPr>
          <w:p>
            <w:r>
              <w:t>#F1F5F9</w:t>
            </w:r>
          </w:p>
        </w:tc>
        <w:tc>
          <w:tcPr>
            <w:tcW w:type="dxa" w:w="3408"/>
          </w:tcPr>
          <w:p>
            <w:r>
              <w:t>Nested/secondary containers</w:t>
            </w:r>
          </w:p>
        </w:tc>
      </w:tr>
      <w:tr>
        <w:tc>
          <w:tcPr>
            <w:tcW w:type="dxa" w:w="3408"/>
          </w:tcPr>
          <w:p>
            <w:r>
              <w:t>color.border</w:t>
            </w:r>
          </w:p>
        </w:tc>
        <w:tc>
          <w:tcPr>
            <w:tcW w:type="dxa" w:w="3408"/>
          </w:tcPr>
          <w:p>
            <w:r>
              <w:t>#E2E8F0</w:t>
            </w:r>
          </w:p>
        </w:tc>
        <w:tc>
          <w:tcPr>
            <w:tcW w:type="dxa" w:w="3408"/>
          </w:tcPr>
          <w:p>
            <w:r>
              <w:t>Standard separators and card borders</w:t>
            </w:r>
          </w:p>
        </w:tc>
      </w:tr>
      <w:tr>
        <w:tc>
          <w:tcPr>
            <w:tcW w:type="dxa" w:w="3408"/>
          </w:tcPr>
          <w:p>
            <w:r>
              <w:t>color.borderStrong</w:t>
            </w:r>
          </w:p>
        </w:tc>
        <w:tc>
          <w:tcPr>
            <w:tcW w:type="dxa" w:w="3408"/>
          </w:tcPr>
          <w:p>
            <w:r>
              <w:t>#CBD5E1</w:t>
            </w:r>
          </w:p>
        </w:tc>
        <w:tc>
          <w:tcPr>
            <w:tcW w:type="dxa" w:w="3408"/>
          </w:tcPr>
          <w:p>
            <w:r>
              <w:t>Interactive/structural borders</w:t>
            </w:r>
          </w:p>
        </w:tc>
      </w:tr>
      <w:tr>
        <w:tc>
          <w:tcPr>
            <w:tcW w:type="dxa" w:w="3408"/>
          </w:tcPr>
          <w:p>
            <w:r>
              <w:t>color.textPrimary</w:t>
            </w:r>
          </w:p>
        </w:tc>
        <w:tc>
          <w:tcPr>
            <w:tcW w:type="dxa" w:w="3408"/>
          </w:tcPr>
          <w:p>
            <w:r>
              <w:t>#0F172A</w:t>
            </w:r>
          </w:p>
        </w:tc>
        <w:tc>
          <w:tcPr>
            <w:tcW w:type="dxa" w:w="3408"/>
          </w:tcPr>
          <w:p>
            <w:r>
              <w:t>Primary text</w:t>
            </w:r>
          </w:p>
        </w:tc>
      </w:tr>
      <w:tr>
        <w:tc>
          <w:tcPr>
            <w:tcW w:type="dxa" w:w="3408"/>
          </w:tcPr>
          <w:p>
            <w:r>
              <w:t>color.textSecondary</w:t>
            </w:r>
          </w:p>
        </w:tc>
        <w:tc>
          <w:tcPr>
            <w:tcW w:type="dxa" w:w="3408"/>
          </w:tcPr>
          <w:p>
            <w:r>
              <w:t>#475569</w:t>
            </w:r>
          </w:p>
        </w:tc>
        <w:tc>
          <w:tcPr>
            <w:tcW w:type="dxa" w:w="3408"/>
          </w:tcPr>
          <w:p>
            <w:r>
              <w:t>Secondary text and labels</w:t>
            </w:r>
          </w:p>
        </w:tc>
      </w:tr>
      <w:tr>
        <w:tc>
          <w:tcPr>
            <w:tcW w:type="dxa" w:w="3408"/>
          </w:tcPr>
          <w:p>
            <w:r>
              <w:t>color.textMuted</w:t>
            </w:r>
          </w:p>
        </w:tc>
        <w:tc>
          <w:tcPr>
            <w:tcW w:type="dxa" w:w="3408"/>
          </w:tcPr>
          <w:p>
            <w:r>
              <w:t>#64748B</w:t>
            </w:r>
          </w:p>
        </w:tc>
        <w:tc>
          <w:tcPr>
            <w:tcW w:type="dxa" w:w="3408"/>
          </w:tcPr>
          <w:p>
            <w:r>
              <w:t>Tertiary metadata</w:t>
            </w:r>
          </w:p>
        </w:tc>
      </w:tr>
      <w:tr>
        <w:tc>
          <w:tcPr>
            <w:tcW w:type="dxa" w:w="3408"/>
          </w:tcPr>
          <w:p>
            <w:r>
              <w:t>color.disabled</w:t>
            </w:r>
          </w:p>
        </w:tc>
        <w:tc>
          <w:tcPr>
            <w:tcW w:type="dxa" w:w="3408"/>
          </w:tcPr>
          <w:p>
            <w:r>
              <w:t>#94A3B8</w:t>
            </w:r>
          </w:p>
        </w:tc>
        <w:tc>
          <w:tcPr>
            <w:tcW w:type="dxa" w:w="3408"/>
          </w:tcPr>
          <w:p>
            <w:r>
              <w:t>Disabled/inactive presentation</w:t>
            </w:r>
          </w:p>
        </w:tc>
      </w:tr>
      <w:tr>
        <w:tc>
          <w:tcPr>
            <w:tcW w:type="dxa" w:w="3408"/>
          </w:tcPr>
          <w:p>
            <w:r>
              <w:t>color.primary</w:t>
            </w:r>
          </w:p>
        </w:tc>
        <w:tc>
          <w:tcPr>
            <w:tcW w:type="dxa" w:w="3408"/>
          </w:tcPr>
          <w:p>
            <w:r>
              <w:t>#0F3460</w:t>
            </w:r>
          </w:p>
        </w:tc>
        <w:tc>
          <w:tcPr>
            <w:tcW w:type="dxa" w:w="3408"/>
          </w:tcPr>
          <w:p>
            <w:r>
              <w:t>Primary actions and active navigation</w:t>
            </w:r>
          </w:p>
        </w:tc>
      </w:tr>
      <w:tr>
        <w:tc>
          <w:tcPr>
            <w:tcW w:type="dxa" w:w="3408"/>
          </w:tcPr>
          <w:p>
            <w:r>
              <w:t>color.primaryPressed</w:t>
            </w:r>
          </w:p>
        </w:tc>
        <w:tc>
          <w:tcPr>
            <w:tcW w:type="dxa" w:w="3408"/>
          </w:tcPr>
          <w:p>
            <w:r>
              <w:t>#0A2342</w:t>
            </w:r>
          </w:p>
        </w:tc>
        <w:tc>
          <w:tcPr>
            <w:tcW w:type="dxa" w:w="3408"/>
          </w:tcPr>
          <w:p>
            <w:r>
              <w:t>Pressed primary action</w:t>
            </w:r>
          </w:p>
        </w:tc>
      </w:tr>
      <w:tr>
        <w:tc>
          <w:tcPr>
            <w:tcW w:type="dxa" w:w="3408"/>
          </w:tcPr>
          <w:p>
            <w:r>
              <w:t>color.primarySoft</w:t>
            </w:r>
          </w:p>
        </w:tc>
        <w:tc>
          <w:tcPr>
            <w:tcW w:type="dxa" w:w="3408"/>
          </w:tcPr>
          <w:p>
            <w:r>
              <w:t>#E0E7FF</w:t>
            </w:r>
          </w:p>
        </w:tc>
        <w:tc>
          <w:tcPr>
            <w:tcW w:type="dxa" w:w="3408"/>
          </w:tcPr>
          <w:p>
            <w:r>
              <w:t>Selected/active tonal background</w:t>
            </w:r>
          </w:p>
        </w:tc>
      </w:tr>
      <w:tr>
        <w:tc>
          <w:tcPr>
            <w:tcW w:type="dxa" w:w="3408"/>
          </w:tcPr>
          <w:p>
            <w:r>
              <w:t>color.success</w:t>
            </w:r>
          </w:p>
        </w:tc>
        <w:tc>
          <w:tcPr>
            <w:tcW w:type="dxa" w:w="3408"/>
          </w:tcPr>
          <w:p>
            <w:r>
              <w:t>#059669</w:t>
            </w:r>
          </w:p>
        </w:tc>
        <w:tc>
          <w:tcPr>
            <w:tcW w:type="dxa" w:w="3408"/>
          </w:tcPr>
          <w:p>
            <w:r>
              <w:t>Positive/validated/synchronized semantic accent</w:t>
            </w:r>
          </w:p>
        </w:tc>
      </w:tr>
      <w:tr>
        <w:tc>
          <w:tcPr>
            <w:tcW w:type="dxa" w:w="3408"/>
          </w:tcPr>
          <w:p>
            <w:r>
              <w:t>color.successSurface</w:t>
            </w:r>
          </w:p>
        </w:tc>
        <w:tc>
          <w:tcPr>
            <w:tcW w:type="dxa" w:w="3408"/>
          </w:tcPr>
          <w:p>
            <w:r>
              <w:t>#ECFDF5</w:t>
            </w:r>
          </w:p>
        </w:tc>
        <w:tc>
          <w:tcPr>
            <w:tcW w:type="dxa" w:w="3408"/>
          </w:tcPr>
          <w:p>
            <w:r>
              <w:t>Success semantic surface</w:t>
            </w:r>
          </w:p>
        </w:tc>
      </w:tr>
      <w:tr>
        <w:tc>
          <w:tcPr>
            <w:tcW w:type="dxa" w:w="3408"/>
          </w:tcPr>
          <w:p>
            <w:r>
              <w:t>color.warning</w:t>
            </w:r>
          </w:p>
        </w:tc>
        <w:tc>
          <w:tcPr>
            <w:tcW w:type="dxa" w:w="3408"/>
          </w:tcPr>
          <w:p>
            <w:r>
              <w:t>#D97706</w:t>
            </w:r>
          </w:p>
        </w:tc>
        <w:tc>
          <w:tcPr>
            <w:tcW w:type="dxa" w:w="3408"/>
          </w:tcPr>
          <w:p>
            <w:r>
              <w:t>Warning/pending semantic accent</w:t>
            </w:r>
          </w:p>
        </w:tc>
      </w:tr>
      <w:tr>
        <w:tc>
          <w:tcPr>
            <w:tcW w:type="dxa" w:w="3408"/>
          </w:tcPr>
          <w:p>
            <w:r>
              <w:t>color.warningSurface</w:t>
            </w:r>
          </w:p>
        </w:tc>
        <w:tc>
          <w:tcPr>
            <w:tcW w:type="dxa" w:w="3408"/>
          </w:tcPr>
          <w:p>
            <w:r>
              <w:t>#FFFBEB</w:t>
            </w:r>
          </w:p>
        </w:tc>
        <w:tc>
          <w:tcPr>
            <w:tcW w:type="dxa" w:w="3408"/>
          </w:tcPr>
          <w:p>
            <w:r>
              <w:t>Warning semantic surface</w:t>
            </w:r>
          </w:p>
        </w:tc>
      </w:tr>
      <w:tr>
        <w:tc>
          <w:tcPr>
            <w:tcW w:type="dxa" w:w="3408"/>
          </w:tcPr>
          <w:p>
            <w:r>
              <w:t>color.error</w:t>
            </w:r>
          </w:p>
        </w:tc>
        <w:tc>
          <w:tcPr>
            <w:tcW w:type="dxa" w:w="3408"/>
          </w:tcPr>
          <w:p>
            <w:r>
              <w:t>#DC2626</w:t>
            </w:r>
          </w:p>
        </w:tc>
        <w:tc>
          <w:tcPr>
            <w:tcW w:type="dxa" w:w="3408"/>
          </w:tcPr>
          <w:p>
            <w:r>
              <w:t>Error/conflict/destructive semantic accent</w:t>
            </w:r>
          </w:p>
        </w:tc>
      </w:tr>
      <w:tr>
        <w:tc>
          <w:tcPr>
            <w:tcW w:type="dxa" w:w="3408"/>
          </w:tcPr>
          <w:p>
            <w:r>
              <w:t>color.errorSurface</w:t>
            </w:r>
          </w:p>
        </w:tc>
        <w:tc>
          <w:tcPr>
            <w:tcW w:type="dxa" w:w="3408"/>
          </w:tcPr>
          <w:p>
            <w:r>
              <w:t>#FEF2F2</w:t>
            </w:r>
          </w:p>
        </w:tc>
        <w:tc>
          <w:tcPr>
            <w:tcW w:type="dxa" w:w="3408"/>
          </w:tcPr>
          <w:p>
            <w:r>
              <w:t>Error semantic surface</w:t>
            </w:r>
          </w:p>
        </w:tc>
      </w:tr>
    </w:tbl>
    <w:p>
      <w:pPr>
        <w:pStyle w:val="Heading2"/>
        <w:keepNext/>
        <w:spacing w:after="80" w:line="252" w:lineRule="auto" w:before="200"/>
      </w:pPr>
      <w:r>
        <w:t>3.2 Semantic color rules</w:t>
      </w:r>
    </w:p>
    <w:p>
      <w:pPr>
        <w:spacing w:after="80" w:line="252" w:lineRule="auto"/>
      </w:pPr>
      <w:r>
        <w:t>Colors communicate presentation semantics, not new domain states.</w:t>
      </w:r>
    </w:p>
    <w:p>
      <w:pPr>
        <w:spacing w:after="80" w:line="252" w:lineRule="auto"/>
      </w:pPr>
      <w:r>
        <w:t>Approved domain labels remain authoritative:</w:t>
      </w:r>
    </w:p>
    <w:p>
      <w:pPr>
        <w:pStyle w:val="ListBullet"/>
        <w:spacing w:after="80" w:line="252" w:lineRule="auto"/>
      </w:pPr>
      <w:r>
        <w:t>Campaign: Active, Completed;</w:t>
      </w:r>
    </w:p>
    <w:p>
      <w:pPr>
        <w:pStyle w:val="ListBullet"/>
        <w:spacing w:after="80" w:line="252" w:lineRule="auto"/>
      </w:pPr>
      <w:r>
        <w:t>Stocktaking classification: To Do, Issues, Validated; All is a UI filter;</w:t>
      </w:r>
    </w:p>
    <w:p>
      <w:pPr>
        <w:pStyle w:val="ListBullet"/>
        <w:spacing w:after="80" w:line="252" w:lineRule="auto"/>
      </w:pPr>
      <w:r>
        <w:t>Issue: Open, Resolved;</w:t>
      </w:r>
    </w:p>
    <w:p>
      <w:pPr>
        <w:pStyle w:val="ListBullet"/>
        <w:spacing w:after="80" w:line="252" w:lineRule="auto"/>
      </w:pPr>
      <w:r>
        <w:t>synchronization wording follows the approved offline/sync contract.</w:t>
      </w:r>
    </w:p>
    <w:p>
      <w:pPr>
        <w:spacing w:after="80" w:line="252" w:lineRule="auto"/>
      </w:pPr>
      <w:r>
        <w:t>Do not rename an approved state to match a color token.</w:t>
      </w:r>
    </w:p>
    <w:p>
      <w:pPr>
        <w:pStyle w:val="Heading1"/>
        <w:keepNext/>
        <w:spacing w:after="80" w:line="252" w:lineRule="auto" w:before="200"/>
      </w:pPr>
      <w:r>
        <w:t>4. Typography</w:t>
      </w:r>
    </w:p>
    <w:p>
      <w:pPr>
        <w:pStyle w:val="Heading2"/>
        <w:keepNext/>
        <w:spacing w:after="80" w:line="252" w:lineRule="auto" w:before="200"/>
      </w:pPr>
      <w:r>
        <w:t>4.1 Font family</w:t>
      </w:r>
    </w:p>
    <w:p>
      <w:pPr>
        <w:spacing w:after="80" w:line="252" w:lineRule="auto"/>
      </w:pPr>
      <w:r>
        <w:t>Use Inter as the canonical SiloMath UI typeface in both Stitch references and the Android implementation.</w:t>
      </w:r>
    </w:p>
    <w:p>
      <w:pPr>
        <w:spacing w:after="80" w:line="252" w:lineRule="auto"/>
      </w:pPr>
      <w:r>
        <w:t>The application must package/use Inter consistently rather than allowing device-dependent typography to become part of the visual contract. A system sans-serif fallback may be used only as a technical failure fallback when Inter cannot be loaded; it is not an alternative approved visual style.</w:t>
      </w:r>
    </w:p>
    <w:p>
      <w:pPr>
        <w:spacing w:after="80" w:line="252" w:lineRule="auto"/>
      </w:pPr>
      <w:r>
        <w:t>No separate decorative or telemetry font is required.</w:t>
      </w:r>
    </w:p>
    <w:p>
      <w:pPr>
        <w:pStyle w:val="Heading2"/>
        <w:keepNext/>
        <w:spacing w:after="80" w:line="252" w:lineRule="auto" w:before="200"/>
      </w:pPr>
      <w:r>
        <w:t>4.2 Type scale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tcPr>
          <w:p>
            <w:r>
              <w:rPr>
                <w:b/>
              </w:rPr>
              <w:t>Token</w:t>
            </w:r>
          </w:p>
        </w:tc>
        <w:tc>
          <w:tcPr>
            <w:tcW w:type="dxa" w:w="2045"/>
          </w:tcPr>
          <w:p>
            <w:r>
              <w:rPr>
                <w:b/>
              </w:rPr>
              <w:t>Size</w:t>
            </w:r>
          </w:p>
        </w:tc>
        <w:tc>
          <w:tcPr>
            <w:tcW w:type="dxa" w:w="2045"/>
          </w:tcPr>
          <w:p>
            <w:r>
              <w:rPr>
                <w:b/>
              </w:rPr>
              <w:t>Weight</w:t>
            </w:r>
          </w:p>
        </w:tc>
        <w:tc>
          <w:tcPr>
            <w:tcW w:type="dxa" w:w="2045"/>
          </w:tcPr>
          <w:p>
            <w:r>
              <w:rPr>
                <w:b/>
              </w:rPr>
              <w:t>Line height</w:t>
            </w:r>
          </w:p>
        </w:tc>
        <w:tc>
          <w:tcPr>
            <w:tcW w:type="dxa" w:w="2045"/>
          </w:tcPr>
          <w:p>
            <w:r>
              <w:rPr>
                <w:b/>
              </w:rPr>
              <w:t>Typical use</w:t>
            </w:r>
          </w:p>
        </w:tc>
      </w:tr>
      <w:tr>
        <w:tc>
          <w:tcPr>
            <w:tcW w:type="dxa" w:w="2045"/>
          </w:tcPr>
          <w:p>
            <w:r>
              <w:t>headlineLarge</w:t>
            </w:r>
          </w:p>
        </w:tc>
        <w:tc>
          <w:tcPr>
            <w:tcW w:type="dxa" w:w="2045"/>
          </w:tcPr>
          <w:p>
            <w:r>
              <w:t>32sp</w:t>
            </w:r>
          </w:p>
        </w:tc>
        <w:tc>
          <w:tcPr>
            <w:tcW w:type="dxa" w:w="2045"/>
          </w:tcPr>
          <w:p>
            <w:r>
              <w:t>700</w:t>
            </w:r>
          </w:p>
        </w:tc>
        <w:tc>
          <w:tcPr>
            <w:tcW w:type="dxa" w:w="2045"/>
          </w:tcPr>
          <w:p>
            <w:r>
              <w:t>40sp</w:t>
            </w:r>
          </w:p>
        </w:tc>
        <w:tc>
          <w:tcPr>
            <w:tcW w:type="dxa" w:w="2045"/>
          </w:tcPr>
          <w:p>
            <w:r>
              <w:t>Rare top-level overview heading</w:t>
            </w:r>
          </w:p>
        </w:tc>
      </w:tr>
      <w:tr>
        <w:tc>
          <w:tcPr>
            <w:tcW w:type="dxa" w:w="2045"/>
          </w:tcPr>
          <w:p>
            <w:r>
              <w:t>headlineMedium</w:t>
            </w:r>
          </w:p>
        </w:tc>
        <w:tc>
          <w:tcPr>
            <w:tcW w:type="dxa" w:w="2045"/>
          </w:tcPr>
          <w:p>
            <w:r>
              <w:t>24sp</w:t>
            </w:r>
          </w:p>
        </w:tc>
        <w:tc>
          <w:tcPr>
            <w:tcW w:type="dxa" w:w="2045"/>
          </w:tcPr>
          <w:p>
            <w:r>
              <w:t>600</w:t>
            </w:r>
          </w:p>
        </w:tc>
        <w:tc>
          <w:tcPr>
            <w:tcW w:type="dxa" w:w="2045"/>
          </w:tcPr>
          <w:p>
            <w:r>
              <w:t>32sp</w:t>
            </w:r>
          </w:p>
        </w:tc>
        <w:tc>
          <w:tcPr>
            <w:tcW w:type="dxa" w:w="2045"/>
          </w:tcPr>
          <w:p>
            <w:r>
              <w:t>Major screen/section heading</w:t>
            </w:r>
          </w:p>
        </w:tc>
      </w:tr>
      <w:tr>
        <w:tc>
          <w:tcPr>
            <w:tcW w:type="dxa" w:w="2045"/>
          </w:tcPr>
          <w:p>
            <w:r>
              <w:t>headlineSmall</w:t>
            </w:r>
          </w:p>
        </w:tc>
        <w:tc>
          <w:tcPr>
            <w:tcW w:type="dxa" w:w="2045"/>
          </w:tcPr>
          <w:p>
            <w:r>
              <w:t>20sp</w:t>
            </w:r>
          </w:p>
        </w:tc>
        <w:tc>
          <w:tcPr>
            <w:tcW w:type="dxa" w:w="2045"/>
          </w:tcPr>
          <w:p>
            <w:r>
              <w:t>600</w:t>
            </w:r>
          </w:p>
        </w:tc>
        <w:tc>
          <w:tcPr>
            <w:tcW w:type="dxa" w:w="2045"/>
          </w:tcPr>
          <w:p>
            <w:r>
              <w:t>28sp</w:t>
            </w:r>
          </w:p>
        </w:tc>
        <w:tc>
          <w:tcPr>
            <w:tcW w:type="dxa" w:w="2045"/>
          </w:tcPr>
          <w:p>
            <w:r>
              <w:t>Screen title / major subsection</w:t>
            </w:r>
          </w:p>
        </w:tc>
      </w:tr>
      <w:tr>
        <w:tc>
          <w:tcPr>
            <w:tcW w:type="dxa" w:w="2045"/>
          </w:tcPr>
          <w:p>
            <w:r>
              <w:t>titleLarge</w:t>
            </w:r>
          </w:p>
        </w:tc>
        <w:tc>
          <w:tcPr>
            <w:tcW w:type="dxa" w:w="2045"/>
          </w:tcPr>
          <w:p>
            <w:r>
              <w:t>18sp</w:t>
            </w:r>
          </w:p>
        </w:tc>
        <w:tc>
          <w:tcPr>
            <w:tcW w:type="dxa" w:w="2045"/>
          </w:tcPr>
          <w:p>
            <w:r>
              <w:t>600</w:t>
            </w:r>
          </w:p>
        </w:tc>
        <w:tc>
          <w:tcPr>
            <w:tcW w:type="dxa" w:w="2045"/>
          </w:tcPr>
          <w:p>
            <w:r>
              <w:t>24sp</w:t>
            </w:r>
          </w:p>
        </w:tc>
        <w:tc>
          <w:tcPr>
            <w:tcW w:type="dxa" w:w="2045"/>
          </w:tcPr>
          <w:p>
            <w:r>
              <w:t>Card or pane title</w:t>
            </w:r>
          </w:p>
        </w:tc>
      </w:tr>
      <w:tr>
        <w:tc>
          <w:tcPr>
            <w:tcW w:type="dxa" w:w="2045"/>
          </w:tcPr>
          <w:p>
            <w:r>
              <w:t>titleMedium</w:t>
            </w:r>
          </w:p>
        </w:tc>
        <w:tc>
          <w:tcPr>
            <w:tcW w:type="dxa" w:w="2045"/>
          </w:tcPr>
          <w:p>
            <w:r>
              <w:t>16sp</w:t>
            </w:r>
          </w:p>
        </w:tc>
        <w:tc>
          <w:tcPr>
            <w:tcW w:type="dxa" w:w="2045"/>
          </w:tcPr>
          <w:p>
            <w:r>
              <w:t>600</w:t>
            </w:r>
          </w:p>
        </w:tc>
        <w:tc>
          <w:tcPr>
            <w:tcW w:type="dxa" w:w="2045"/>
          </w:tcPr>
          <w:p>
            <w:r>
              <w:t>24sp</w:t>
            </w:r>
          </w:p>
        </w:tc>
        <w:tc>
          <w:tcPr>
            <w:tcW w:type="dxa" w:w="2045"/>
          </w:tcPr>
          <w:p>
            <w:r>
              <w:t>List/card title</w:t>
            </w:r>
          </w:p>
        </w:tc>
      </w:tr>
      <w:tr>
        <w:tc>
          <w:tcPr>
            <w:tcW w:type="dxa" w:w="2045"/>
          </w:tcPr>
          <w:p>
            <w:r>
              <w:t>titleSmall</w:t>
            </w:r>
          </w:p>
        </w:tc>
        <w:tc>
          <w:tcPr>
            <w:tcW w:type="dxa" w:w="2045"/>
          </w:tcPr>
          <w:p>
            <w:r>
              <w:t>14sp</w:t>
            </w:r>
          </w:p>
        </w:tc>
        <w:tc>
          <w:tcPr>
            <w:tcW w:type="dxa" w:w="2045"/>
          </w:tcPr>
          <w:p>
            <w:r>
              <w:t>600</w:t>
            </w:r>
          </w:p>
        </w:tc>
        <w:tc>
          <w:tcPr>
            <w:tcW w:type="dxa" w:w="2045"/>
          </w:tcPr>
          <w:p>
            <w:r>
              <w:t>20sp</w:t>
            </w:r>
          </w:p>
        </w:tc>
        <w:tc>
          <w:tcPr>
            <w:tcW w:type="dxa" w:w="2045"/>
          </w:tcPr>
          <w:p>
            <w:r>
              <w:t>Compact structural label</w:t>
            </w:r>
          </w:p>
        </w:tc>
      </w:tr>
      <w:tr>
        <w:tc>
          <w:tcPr>
            <w:tcW w:type="dxa" w:w="2045"/>
          </w:tcPr>
          <w:p>
            <w:r>
              <w:t>bodyLarge</w:t>
            </w:r>
          </w:p>
        </w:tc>
        <w:tc>
          <w:tcPr>
            <w:tcW w:type="dxa" w:w="2045"/>
          </w:tcPr>
          <w:p>
            <w:r>
              <w:t>16sp</w:t>
            </w:r>
          </w:p>
        </w:tc>
        <w:tc>
          <w:tcPr>
            <w:tcW w:type="dxa" w:w="2045"/>
          </w:tcPr>
          <w:p>
            <w:r>
              <w:t>400</w:t>
            </w:r>
          </w:p>
        </w:tc>
        <w:tc>
          <w:tcPr>
            <w:tcW w:type="dxa" w:w="2045"/>
          </w:tcPr>
          <w:p>
            <w:r>
              <w:t>24sp</w:t>
            </w:r>
          </w:p>
        </w:tc>
        <w:tc>
          <w:tcPr>
            <w:tcW w:type="dxa" w:w="2045"/>
          </w:tcPr>
          <w:p>
            <w:r>
              <w:t>Primary body/content</w:t>
            </w:r>
          </w:p>
        </w:tc>
      </w:tr>
      <w:tr>
        <w:tc>
          <w:tcPr>
            <w:tcW w:type="dxa" w:w="2045"/>
          </w:tcPr>
          <w:p>
            <w:r>
              <w:t>bodyMedium</w:t>
            </w:r>
          </w:p>
        </w:tc>
        <w:tc>
          <w:tcPr>
            <w:tcW w:type="dxa" w:w="2045"/>
          </w:tcPr>
          <w:p>
            <w:r>
              <w:t>14sp</w:t>
            </w:r>
          </w:p>
        </w:tc>
        <w:tc>
          <w:tcPr>
            <w:tcW w:type="dxa" w:w="2045"/>
          </w:tcPr>
          <w:p>
            <w:r>
              <w:t>400</w:t>
            </w:r>
          </w:p>
        </w:tc>
        <w:tc>
          <w:tcPr>
            <w:tcW w:type="dxa" w:w="2045"/>
          </w:tcPr>
          <w:p>
            <w:r>
              <w:t>20sp</w:t>
            </w:r>
          </w:p>
        </w:tc>
        <w:tc>
          <w:tcPr>
            <w:tcW w:type="dxa" w:w="2045"/>
          </w:tcPr>
          <w:p>
            <w:r>
              <w:t>Default operational content</w:t>
            </w:r>
          </w:p>
        </w:tc>
      </w:tr>
      <w:tr>
        <w:tc>
          <w:tcPr>
            <w:tcW w:type="dxa" w:w="2045"/>
          </w:tcPr>
          <w:p>
            <w:r>
              <w:t>bodySmall</w:t>
            </w:r>
          </w:p>
        </w:tc>
        <w:tc>
          <w:tcPr>
            <w:tcW w:type="dxa" w:w="2045"/>
          </w:tcPr>
          <w:p>
            <w:r>
              <w:t>12sp</w:t>
            </w:r>
          </w:p>
        </w:tc>
        <w:tc>
          <w:tcPr>
            <w:tcW w:type="dxa" w:w="2045"/>
          </w:tcPr>
          <w:p>
            <w:r>
              <w:t>400</w:t>
            </w:r>
          </w:p>
        </w:tc>
        <w:tc>
          <w:tcPr>
            <w:tcW w:type="dxa" w:w="2045"/>
          </w:tcPr>
          <w:p>
            <w:r>
              <w:t>16sp</w:t>
            </w:r>
          </w:p>
        </w:tc>
        <w:tc>
          <w:tcPr>
            <w:tcW w:type="dxa" w:w="2045"/>
          </w:tcPr>
          <w:p>
            <w:r>
              <w:t>Secondary metadata</w:t>
            </w:r>
          </w:p>
        </w:tc>
      </w:tr>
      <w:tr>
        <w:tc>
          <w:tcPr>
            <w:tcW w:type="dxa" w:w="2045"/>
          </w:tcPr>
          <w:p>
            <w:r>
              <w:t>labelLarge</w:t>
            </w:r>
          </w:p>
        </w:tc>
        <w:tc>
          <w:tcPr>
            <w:tcW w:type="dxa" w:w="2045"/>
          </w:tcPr>
          <w:p>
            <w:r>
              <w:t>14sp</w:t>
            </w:r>
          </w:p>
        </w:tc>
        <w:tc>
          <w:tcPr>
            <w:tcW w:type="dxa" w:w="2045"/>
          </w:tcPr>
          <w:p>
            <w:r>
              <w:t>600</w:t>
            </w:r>
          </w:p>
        </w:tc>
        <w:tc>
          <w:tcPr>
            <w:tcW w:type="dxa" w:w="2045"/>
          </w:tcPr>
          <w:p>
            <w:r>
              <w:t>20sp</w:t>
            </w:r>
          </w:p>
        </w:tc>
        <w:tc>
          <w:tcPr>
            <w:tcW w:type="dxa" w:w="2045"/>
          </w:tcPr>
          <w:p>
            <w:r>
              <w:t>Buttons and important labels</w:t>
            </w:r>
          </w:p>
        </w:tc>
      </w:tr>
      <w:tr>
        <w:tc>
          <w:tcPr>
            <w:tcW w:type="dxa" w:w="2045"/>
          </w:tcPr>
          <w:p>
            <w:r>
              <w:t>labelMedium</w:t>
            </w:r>
          </w:p>
        </w:tc>
        <w:tc>
          <w:tcPr>
            <w:tcW w:type="dxa" w:w="2045"/>
          </w:tcPr>
          <w:p>
            <w:r>
              <w:t>12sp</w:t>
            </w:r>
          </w:p>
        </w:tc>
        <w:tc>
          <w:tcPr>
            <w:tcW w:type="dxa" w:w="2045"/>
          </w:tcPr>
          <w:p>
            <w:r>
              <w:t>600</w:t>
            </w:r>
          </w:p>
        </w:tc>
        <w:tc>
          <w:tcPr>
            <w:tcW w:type="dxa" w:w="2045"/>
          </w:tcPr>
          <w:p>
            <w:r>
              <w:t>16sp</w:t>
            </w:r>
          </w:p>
        </w:tc>
        <w:tc>
          <w:tcPr>
            <w:tcW w:type="dxa" w:w="2045"/>
          </w:tcPr>
          <w:p>
            <w:r>
              <w:t>Filters/chips/field metadata</w:t>
            </w:r>
          </w:p>
        </w:tc>
      </w:tr>
      <w:tr>
        <w:tc>
          <w:tcPr>
            <w:tcW w:type="dxa" w:w="2045"/>
          </w:tcPr>
          <w:p>
            <w:r>
              <w:t>labelSmall</w:t>
            </w:r>
          </w:p>
        </w:tc>
        <w:tc>
          <w:tcPr>
            <w:tcW w:type="dxa" w:w="2045"/>
          </w:tcPr>
          <w:p>
            <w:r>
              <w:t>11sp</w:t>
            </w:r>
          </w:p>
        </w:tc>
        <w:tc>
          <w:tcPr>
            <w:tcW w:type="dxa" w:w="2045"/>
          </w:tcPr>
          <w:p>
            <w:r>
              <w:t>600</w:t>
            </w:r>
          </w:p>
        </w:tc>
        <w:tc>
          <w:tcPr>
            <w:tcW w:type="dxa" w:w="2045"/>
          </w:tcPr>
          <w:p>
            <w:r>
              <w:t>16sp</w:t>
            </w:r>
          </w:p>
        </w:tc>
        <w:tc>
          <w:tcPr>
            <w:tcW w:type="dxa" w:w="2045"/>
          </w:tcPr>
          <w:p>
            <w:r>
              <w:t>Compact status/supporting labels</w:t>
            </w:r>
          </w:p>
        </w:tc>
      </w:tr>
    </w:tbl>
    <w:p>
      <w:pPr>
        <w:pStyle w:val="Heading2"/>
        <w:keepNext/>
        <w:spacing w:after="80" w:line="252" w:lineRule="auto" w:before="200"/>
      </w:pPr>
      <w:r>
        <w:t>4.3 Numeric presentation</w:t>
      </w:r>
    </w:p>
    <w:p>
      <w:pPr>
        <w:spacing w:after="80" w:line="252" w:lineRule="auto"/>
      </w:pPr>
      <w:r>
        <w:t>Use tabular figures for changing or aligned numeric values where supported. Measurement values and units must remain visually distinguishable. Do not use typographic styling to imply precision beyond the approved calculation/display contract.</w:t>
      </w:r>
    </w:p>
    <w:p>
      <w:pPr>
        <w:pStyle w:val="Heading1"/>
        <w:keepNext/>
        <w:spacing w:after="80" w:line="252" w:lineRule="auto" w:before="200"/>
      </w:pPr>
      <w:r>
        <w:t>5. Spacing and Grid</w:t>
      </w:r>
    </w:p>
    <w:p>
      <w:pPr>
        <w:spacing w:after="80" w:line="252" w:lineRule="auto"/>
      </w:pPr>
      <w:r>
        <w:t>SiloMath uses an 8dp base grid with a 4dp micro-step.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Pr>
          <w:p>
            <w:r>
              <w:rPr>
                <w:b/>
              </w:rPr>
              <w:t>Token</w:t>
            </w:r>
          </w:p>
        </w:tc>
        <w:tc>
          <w:tcPr>
            <w:tcW w:type="dxa" w:w="5112"/>
          </w:tcPr>
          <w:p>
            <w:r>
              <w:rPr>
                <w:b/>
              </w:rPr>
              <w:t>Value</w:t>
            </w:r>
          </w:p>
        </w:tc>
      </w:tr>
      <w:tr>
        <w:tc>
          <w:tcPr>
            <w:tcW w:type="dxa" w:w="5112"/>
          </w:tcPr>
          <w:p>
            <w:r>
              <w:t>space.xs</w:t>
            </w:r>
          </w:p>
        </w:tc>
        <w:tc>
          <w:tcPr>
            <w:tcW w:type="dxa" w:w="5112"/>
          </w:tcPr>
          <w:p>
            <w:r>
              <w:t>4dp</w:t>
            </w:r>
          </w:p>
        </w:tc>
      </w:tr>
      <w:tr>
        <w:tc>
          <w:tcPr>
            <w:tcW w:type="dxa" w:w="5112"/>
          </w:tcPr>
          <w:p>
            <w:r>
              <w:t>space.sm</w:t>
            </w:r>
          </w:p>
        </w:tc>
        <w:tc>
          <w:tcPr>
            <w:tcW w:type="dxa" w:w="5112"/>
          </w:tcPr>
          <w:p>
            <w:r>
              <w:t>8dp</w:t>
            </w:r>
          </w:p>
        </w:tc>
      </w:tr>
      <w:tr>
        <w:tc>
          <w:tcPr>
            <w:tcW w:type="dxa" w:w="5112"/>
          </w:tcPr>
          <w:p>
            <w:r>
              <w:t>space.md</w:t>
            </w:r>
          </w:p>
        </w:tc>
        <w:tc>
          <w:tcPr>
            <w:tcW w:type="dxa" w:w="5112"/>
          </w:tcPr>
          <w:p>
            <w:r>
              <w:t>16dp</w:t>
            </w:r>
          </w:p>
        </w:tc>
      </w:tr>
      <w:tr>
        <w:tc>
          <w:tcPr>
            <w:tcW w:type="dxa" w:w="5112"/>
          </w:tcPr>
          <w:p>
            <w:r>
              <w:t>space.lg</w:t>
            </w:r>
          </w:p>
        </w:tc>
        <w:tc>
          <w:tcPr>
            <w:tcW w:type="dxa" w:w="5112"/>
          </w:tcPr>
          <w:p>
            <w:r>
              <w:t>24dp</w:t>
            </w:r>
          </w:p>
        </w:tc>
      </w:tr>
      <w:tr>
        <w:tc>
          <w:tcPr>
            <w:tcW w:type="dxa" w:w="5112"/>
          </w:tcPr>
          <w:p>
            <w:r>
              <w:t>space.xl</w:t>
            </w:r>
          </w:p>
        </w:tc>
        <w:tc>
          <w:tcPr>
            <w:tcW w:type="dxa" w:w="5112"/>
          </w:tcPr>
          <w:p>
            <w:r>
              <w:t>32dp</w:t>
            </w:r>
          </w:p>
        </w:tc>
      </w:tr>
      <w:tr>
        <w:tc>
          <w:tcPr>
            <w:tcW w:type="dxa" w:w="5112"/>
          </w:tcPr>
          <w:p>
            <w:r>
              <w:t>space.2xl</w:t>
            </w:r>
          </w:p>
        </w:tc>
        <w:tc>
          <w:tcPr>
            <w:tcW w:type="dxa" w:w="5112"/>
          </w:tcPr>
          <w:p>
            <w:r>
              <w:t>40dp</w:t>
            </w:r>
          </w:p>
        </w:tc>
      </w:tr>
    </w:tbl>
    <w:p>
      <w:pPr>
        <w:spacing w:after="80" w:line="252" w:lineRule="auto"/>
      </w:pPr>
      <w:r>
        <w:t xml:space="preserve">Default phone horizontal margin: 16dp.  </w:t>
      </w:r>
    </w:p>
    <w:p>
      <w:pPr>
        <w:spacing w:after="80" w:line="252" w:lineRule="auto"/>
      </w:pPr>
      <w:r>
        <w:t>Tablet horizontal margin: 24dp minimum, increasing to 32dp where width permits.</w:t>
      </w:r>
    </w:p>
    <w:p>
      <w:pPr>
        <w:spacing w:after="80" w:line="252" w:lineRule="auto"/>
      </w:pPr>
      <w:r>
        <w:t>Spacing must prioritize scanability and efficient field operation rather than visual decoration.</w:t>
      </w:r>
    </w:p>
    <w:p>
      <w:pPr>
        <w:pStyle w:val="Heading1"/>
        <w:keepNext/>
        <w:spacing w:after="80" w:line="252" w:lineRule="auto" w:before="200"/>
      </w:pPr>
      <w:r>
        <w:t>6. Shapes and Borders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Pr>
          <w:p>
            <w:r>
              <w:rPr>
                <w:b/>
              </w:rPr>
              <w:t>Token</w:t>
            </w:r>
          </w:p>
        </w:tc>
        <w:tc>
          <w:tcPr>
            <w:tcW w:type="dxa" w:w="3408"/>
          </w:tcPr>
          <w:p>
            <w:r>
              <w:rPr>
                <w:b/>
              </w:rPr>
              <w:t>Radius</w:t>
            </w:r>
          </w:p>
        </w:tc>
        <w:tc>
          <w:tcPr>
            <w:tcW w:type="dxa" w:w="3408"/>
          </w:tcPr>
          <w:p>
            <w:r>
              <w:rPr>
                <w:b/>
              </w:rPr>
              <w:t>Use</w:t>
            </w:r>
          </w:p>
        </w:tc>
      </w:tr>
      <w:tr>
        <w:tc>
          <w:tcPr>
            <w:tcW w:type="dxa" w:w="3408"/>
          </w:tcPr>
          <w:p>
            <w:r>
              <w:t>radius.small</w:t>
            </w:r>
          </w:p>
        </w:tc>
        <w:tc>
          <w:tcPr>
            <w:tcW w:type="dxa" w:w="3408"/>
          </w:tcPr>
          <w:p>
            <w:r>
              <w:t>4dp</w:t>
            </w:r>
          </w:p>
        </w:tc>
        <w:tc>
          <w:tcPr>
            <w:tcW w:type="dxa" w:w="3408"/>
          </w:tcPr>
          <w:p>
            <w:r>
              <w:t>Fields, compact controls, small chips</w:t>
            </w:r>
          </w:p>
        </w:tc>
      </w:tr>
      <w:tr>
        <w:tc>
          <w:tcPr>
            <w:tcW w:type="dxa" w:w="3408"/>
          </w:tcPr>
          <w:p>
            <w:r>
              <w:t>radius.medium</w:t>
            </w:r>
          </w:p>
        </w:tc>
        <w:tc>
          <w:tcPr>
            <w:tcW w:type="dxa" w:w="3408"/>
          </w:tcPr>
          <w:p>
            <w:r>
              <w:t>8dp</w:t>
            </w:r>
          </w:p>
        </w:tc>
        <w:tc>
          <w:tcPr>
            <w:tcW w:type="dxa" w:w="3408"/>
          </w:tcPr>
          <w:p>
            <w:r>
              <w:t>Cards, buttons, list containers</w:t>
            </w:r>
          </w:p>
        </w:tc>
      </w:tr>
      <w:tr>
        <w:tc>
          <w:tcPr>
            <w:tcW w:type="dxa" w:w="3408"/>
          </w:tcPr>
          <w:p>
            <w:r>
              <w:t>radius.large</w:t>
            </w:r>
          </w:p>
        </w:tc>
        <w:tc>
          <w:tcPr>
            <w:tcW w:type="dxa" w:w="3408"/>
          </w:tcPr>
          <w:p>
            <w:r>
              <w:t>12dp</w:t>
            </w:r>
          </w:p>
        </w:tc>
        <w:tc>
          <w:tcPr>
            <w:tcW w:type="dxa" w:w="3408"/>
          </w:tcPr>
          <w:p>
            <w:r>
              <w:t>Sheets/dialog containers</w:t>
            </w:r>
          </w:p>
        </w:tc>
      </w:tr>
      <w:tr>
        <w:tc>
          <w:tcPr>
            <w:tcW w:type="dxa" w:w="3408"/>
          </w:tcPr>
          <w:p>
            <w:r>
              <w:t>radius.full</w:t>
            </w:r>
          </w:p>
        </w:tc>
        <w:tc>
          <w:tcPr>
            <w:tcW w:type="dxa" w:w="3408"/>
          </w:tcPr>
          <w:p>
            <w:r>
              <w:t>Full</w:t>
            </w:r>
          </w:p>
        </w:tc>
        <w:tc>
          <w:tcPr>
            <w:tcW w:type="dxa" w:w="3408"/>
          </w:tcPr>
          <w:p>
            <w:r>
              <w:t>Status dots/pills where semantically appropriate</w:t>
            </w:r>
          </w:p>
        </w:tc>
      </w:tr>
    </w:tbl>
    <w:p>
      <w:pPr>
        <w:spacing w:after="80" w:line="252" w:lineRule="auto"/>
      </w:pPr>
      <w:r>
        <w:t xml:space="preserve">Default structural border: 1dp #E2E8F0.  </w:t>
      </w:r>
    </w:p>
    <w:p>
      <w:pPr>
        <w:spacing w:after="80" w:line="252" w:lineRule="auto"/>
      </w:pPr>
      <w:r>
        <w:t xml:space="preserve">Stronger interactive border: 1dp #CBD5E1.  </w:t>
      </w:r>
    </w:p>
    <w:p>
      <w:pPr>
        <w:spacing w:after="80" w:line="252" w:lineRule="auto"/>
      </w:pPr>
      <w:r>
        <w:t xml:space="preserve">Focused input border: 2dp color.primary.  </w:t>
      </w:r>
    </w:p>
    <w:p>
      <w:pPr>
        <w:spacing w:after="80" w:line="252" w:lineRule="auto"/>
      </w:pPr>
      <w:r>
        <w:t>Error input border: 2dp color.error.</w:t>
      </w:r>
    </w:p>
    <w:p>
      <w:pPr>
        <w:spacing w:after="80" w:line="252" w:lineRule="auto"/>
      </w:pPr>
      <w:r>
        <w:t>Avoid excessive rounding that makes the application resemble a consumer/social product.</w:t>
      </w:r>
    </w:p>
    <w:p>
      <w:pPr>
        <w:pStyle w:val="Heading1"/>
        <w:keepNext/>
        <w:spacing w:after="80" w:line="252" w:lineRule="auto" w:before="200"/>
      </w:pPr>
      <w:r>
        <w:t>7. Elevation</w:t>
      </w:r>
    </w:p>
    <w:p>
      <w:pPr>
        <w:spacing w:after="80" w:line="252" w:lineRule="auto"/>
      </w:pPr>
      <w:r>
        <w:t>Visual hierarchy should rely primarily on spacing, tonal surfaces, and borders.</w:t>
      </w:r>
    </w:p>
    <w:p>
      <w:pPr>
        <w:pStyle w:val="ListBullet"/>
        <w:spacing w:after="80" w:line="252" w:lineRule="auto"/>
      </w:pPr>
      <w:r>
        <w:t>Base canvas: no shadow.</w:t>
      </w:r>
    </w:p>
    <w:p>
      <w:pPr>
        <w:pStyle w:val="ListBullet"/>
        <w:spacing w:after="80" w:line="252" w:lineRule="auto"/>
      </w:pPr>
      <w:r>
        <w:t>Standard card/list container: no shadow or very subtle Material-compatible elevation.</w:t>
      </w:r>
    </w:p>
    <w:p>
      <w:pPr>
        <w:pStyle w:val="ListBullet"/>
        <w:spacing w:after="80" w:line="252" w:lineRule="auto"/>
      </w:pPr>
      <w:r>
        <w:t>Active menu/dropdown: restrained elevation.</w:t>
      </w:r>
    </w:p>
    <w:p>
      <w:pPr>
        <w:pStyle w:val="ListBullet"/>
        <w:spacing w:after="80" w:line="252" w:lineRule="auto"/>
      </w:pPr>
      <w:r>
        <w:t>Top app bar: separator preferred over heavy shadow.</w:t>
      </w:r>
    </w:p>
    <w:p>
      <w:pPr>
        <w:pStyle w:val="ListBullet"/>
        <w:spacing w:after="80" w:line="252" w:lineRule="auto"/>
      </w:pPr>
      <w:r>
        <w:t>Bottom sheets/dialogs/FAB: elevation permitted where needed to establish layering.</w:t>
      </w:r>
    </w:p>
    <w:p>
      <w:pPr>
        <w:pStyle w:val="ListBullet"/>
        <w:spacing w:after="80" w:line="252" w:lineRule="auto"/>
      </w:pPr>
      <w:r>
        <w:t>Blur is not permitted as a standard SiloMath surface treatment.</w:t>
      </w:r>
    </w:p>
    <w:p>
      <w:pPr>
        <w:pStyle w:val="Heading1"/>
        <w:keepNext/>
        <w:spacing w:after="80" w:line="252" w:lineRule="auto" w:before="200"/>
      </w:pPr>
      <w:r>
        <w:t>8. Core Components</w:t>
      </w:r>
    </w:p>
    <w:p>
      <w:pPr>
        <w:pStyle w:val="Heading2"/>
        <w:keepNext/>
        <w:spacing w:after="80" w:line="252" w:lineRule="auto" w:before="200"/>
      </w:pPr>
      <w:r>
        <w:t>8.1 Top App Bar</w:t>
      </w:r>
    </w:p>
    <w:p>
      <w:pPr>
        <w:spacing w:after="80" w:line="252" w:lineRule="auto"/>
      </w:pPr>
      <w:r>
        <w:t>Operational screens use a clear top app bar appropriate to their Doc06 contract.</w:t>
      </w:r>
    </w:p>
    <w:p>
      <w:pPr>
        <w:spacing w:after="80" w:line="252" w:lineRule="auto"/>
      </w:pPr>
      <w:r>
        <w:t>Where required by Doc06 it may contain:</w:t>
      </w:r>
    </w:p>
    <w:p>
      <w:pPr>
        <w:pStyle w:val="ListBullet"/>
        <w:spacing w:after="80" w:line="252" w:lineRule="auto"/>
      </w:pPr>
      <w:r>
        <w:t>app/screen identity;</w:t>
      </w:r>
    </w:p>
    <w:p>
      <w:pPr>
        <w:pStyle w:val="ListBullet"/>
        <w:spacing w:after="80" w:line="252" w:lineRule="auto"/>
      </w:pPr>
      <w:r>
        <w:t>back navigation;</w:t>
      </w:r>
    </w:p>
    <w:p>
      <w:pPr>
        <w:pStyle w:val="ListBullet"/>
        <w:spacing w:after="80" w:line="252" w:lineRule="auto"/>
      </w:pPr>
      <w:r>
        <w:t>synchronization affordance/status;</w:t>
      </w:r>
    </w:p>
    <w:p>
      <w:pPr>
        <w:pStyle w:val="ListBullet"/>
        <w:spacing w:after="80" w:line="252" w:lineRule="auto"/>
      </w:pPr>
      <w:r>
        <w:t>notifications;</w:t>
      </w:r>
    </w:p>
    <w:p>
      <w:pPr>
        <w:pStyle w:val="ListBullet"/>
        <w:spacing w:after="80" w:line="252" w:lineRule="auto"/>
      </w:pPr>
      <w:r>
        <w:t>avatar/user context.</w:t>
      </w:r>
    </w:p>
    <w:p>
      <w:pPr>
        <w:spacing w:after="80" w:line="252" w:lineRule="auto"/>
      </w:pPr>
      <w:r>
        <w:t>Do not add destinations or account actions that are not defined by V6.</w:t>
      </w:r>
    </w:p>
    <w:p>
      <w:pPr>
        <w:spacing w:after="80" w:line="252" w:lineRule="auto"/>
      </w:pPr>
      <w:r>
        <w:t>Recommended height: 64dp where a standard single-row app bar is appropriate.</w:t>
      </w:r>
    </w:p>
    <w:p>
      <w:pPr>
        <w:pStyle w:val="Heading2"/>
        <w:keepNext/>
        <w:spacing w:after="80" w:line="252" w:lineRule="auto" w:before="200"/>
      </w:pPr>
      <w:r>
        <w:t>8.2 Bottom Navigation</w:t>
      </w:r>
    </w:p>
    <w:p>
      <w:pPr>
        <w:spacing w:after="80" w:line="252" w:lineRule="auto"/>
      </w:pPr>
      <w:r>
        <w:t>Operational shell destinations are exactly:</w:t>
      </w:r>
    </w:p>
    <w:p>
      <w:pPr>
        <w:pStyle w:val="ListNumber"/>
        <w:spacing w:after="80" w:line="252" w:lineRule="auto"/>
      </w:pPr>
      <w:r>
        <w:t>Dashboard</w:t>
      </w:r>
    </w:p>
    <w:p>
      <w:pPr>
        <w:pStyle w:val="ListNumber"/>
        <w:spacing w:after="80" w:line="252" w:lineRule="auto"/>
      </w:pPr>
      <w:r>
        <w:t>Inventory Campaigns</w:t>
      </w:r>
    </w:p>
    <w:p>
      <w:pPr>
        <w:pStyle w:val="ListNumber"/>
        <w:spacing w:after="80" w:line="252" w:lineRule="auto"/>
      </w:pPr>
      <w:r>
        <w:t>Stocktaking</w:t>
      </w:r>
    </w:p>
    <w:p>
      <w:pPr>
        <w:pStyle w:val="ListNumber"/>
        <w:spacing w:after="80" w:line="252" w:lineRule="auto"/>
      </w:pPr>
      <w:r>
        <w:t>Locations</w:t>
      </w:r>
    </w:p>
    <w:p>
      <w:pPr>
        <w:pStyle w:val="ListNumber"/>
        <w:spacing w:after="80" w:line="252" w:lineRule="auto"/>
      </w:pPr>
      <w:r>
        <w:t>More</w:t>
      </w:r>
    </w:p>
    <w:p>
      <w:pPr>
        <w:spacing w:after="80" w:line="252" w:lineRule="auto"/>
      </w:pPr>
      <w:r>
        <w:t>Use the same order everywhere. Active destination uses color.primary plus a visible selected treatment. Inactive destinations use neutral text/icon treatment.</w:t>
      </w:r>
    </w:p>
    <w:p>
      <w:pPr>
        <w:spacing w:after="80" w:line="252" w:lineRule="auto"/>
      </w:pPr>
      <w:r>
        <w:t>Do not replace these destinations with design-system examples.</w:t>
      </w:r>
    </w:p>
    <w:p>
      <w:pPr>
        <w:pStyle w:val="Heading2"/>
        <w:keepNext/>
        <w:spacing w:after="80" w:line="252" w:lineRule="auto" w:before="200"/>
      </w:pPr>
      <w:r>
        <w:t>8.3 Buttons</w:t>
      </w:r>
    </w:p>
    <w:p>
      <w:pPr>
        <w:spacing w:after="80" w:line="252" w:lineRule="auto"/>
      </w:pPr>
      <w:r>
        <w:t>Primary:</w:t>
      </w:r>
    </w:p>
    <w:p>
      <w:pPr>
        <w:pStyle w:val="ListBullet"/>
        <w:spacing w:after="80" w:line="252" w:lineRule="auto"/>
      </w:pPr>
      <w:r>
        <w:t>solid color.primary;</w:t>
      </w:r>
    </w:p>
    <w:p>
      <w:pPr>
        <w:pStyle w:val="ListBullet"/>
        <w:spacing w:after="80" w:line="252" w:lineRule="auto"/>
      </w:pPr>
      <w:r>
        <w:t>white text;</w:t>
      </w:r>
    </w:p>
    <w:p>
      <w:pPr>
        <w:pStyle w:val="ListBullet"/>
        <w:spacing w:after="80" w:line="252" w:lineRule="auto"/>
      </w:pPr>
      <w:r>
        <w:t>8dp radius;</w:t>
      </w:r>
    </w:p>
    <w:p>
      <w:pPr>
        <w:pStyle w:val="ListBullet"/>
        <w:spacing w:after="80" w:line="252" w:lineRule="auto"/>
      </w:pPr>
      <w:r>
        <w:t>minimum 48dp interactive height.</w:t>
      </w:r>
    </w:p>
    <w:p>
      <w:pPr>
        <w:spacing w:after="80" w:line="252" w:lineRule="auto"/>
      </w:pPr>
      <w:r>
        <w:t>Secondary:</w:t>
      </w:r>
    </w:p>
    <w:p>
      <w:pPr>
        <w:pStyle w:val="ListBullet"/>
        <w:spacing w:after="80" w:line="252" w:lineRule="auto"/>
      </w:pPr>
      <w:r>
        <w:t>white/surface background;</w:t>
      </w:r>
    </w:p>
    <w:p>
      <w:pPr>
        <w:pStyle w:val="ListBullet"/>
        <w:spacing w:after="80" w:line="252" w:lineRule="auto"/>
      </w:pPr>
      <w:r>
        <w:t>structural border;</w:t>
      </w:r>
    </w:p>
    <w:p>
      <w:pPr>
        <w:pStyle w:val="ListBullet"/>
        <w:spacing w:after="80" w:line="252" w:lineRule="auto"/>
      </w:pPr>
      <w:r>
        <w:t>primary or high-emphasis neutral text.</w:t>
      </w:r>
    </w:p>
    <w:p>
      <w:pPr>
        <w:spacing w:after="80" w:line="252" w:lineRule="auto"/>
      </w:pPr>
      <w:r>
        <w:t>Tertiary:</w:t>
      </w:r>
    </w:p>
    <w:p>
      <w:pPr>
        <w:pStyle w:val="ListBullet"/>
        <w:spacing w:after="80" w:line="252" w:lineRule="auto"/>
      </w:pPr>
      <w:r>
        <w:t>transparent surface;</w:t>
      </w:r>
    </w:p>
    <w:p>
      <w:pPr>
        <w:pStyle w:val="ListBullet"/>
        <w:spacing w:after="80" w:line="252" w:lineRule="auto"/>
      </w:pPr>
      <w:r>
        <w:t>clear text/icon affordance.</w:t>
      </w:r>
    </w:p>
    <w:p>
      <w:pPr>
        <w:spacing w:after="80" w:line="252" w:lineRule="auto"/>
      </w:pPr>
      <w:r>
        <w:t>Destructive:</w:t>
      </w:r>
    </w:p>
    <w:p>
      <w:pPr>
        <w:pStyle w:val="ListBullet"/>
        <w:spacing w:after="80" w:line="252" w:lineRule="auto"/>
      </w:pPr>
      <w:r>
        <w:t>use error semantic styling only for genuinely destructive or irreversible actions approved by V6.</w:t>
      </w:r>
    </w:p>
    <w:p>
      <w:pPr>
        <w:spacing w:after="80" w:line="252" w:lineRule="auto"/>
      </w:pPr>
      <w:r>
        <w:t>Button labels must use the exact action terminology from the relevant screen contract.</w:t>
      </w:r>
    </w:p>
    <w:p>
      <w:pPr>
        <w:pStyle w:val="Heading2"/>
        <w:keepNext/>
        <w:spacing w:after="80" w:line="252" w:lineRule="auto" w:before="200"/>
      </w:pPr>
      <w:r>
        <w:t>8.4 Text Inputs and Selectors</w:t>
      </w:r>
    </w:p>
    <w:p>
      <w:pPr>
        <w:spacing w:after="80" w:line="252" w:lineRule="auto"/>
      </w:pPr>
      <w:r>
        <w:t>Default field height: 52–56dp depending on Compose component constraints.</w:t>
      </w:r>
    </w:p>
    <w:p>
      <w:pPr>
        <w:spacing w:after="80" w:line="252" w:lineRule="auto"/>
      </w:pPr>
      <w:r>
        <w:t>Requirements:</w:t>
      </w:r>
    </w:p>
    <w:p>
      <w:pPr>
        <w:pStyle w:val="ListBullet"/>
        <w:spacing w:after="80" w:line="252" w:lineRule="auto"/>
      </w:pPr>
      <w:r>
        <w:t>explicit label;</w:t>
      </w:r>
    </w:p>
    <w:p>
      <w:pPr>
        <w:pStyle w:val="ListBullet"/>
        <w:spacing w:after="80" w:line="252" w:lineRule="auto"/>
      </w:pPr>
      <w:r>
        <w:t>clear focus state;</w:t>
      </w:r>
    </w:p>
    <w:p>
      <w:pPr>
        <w:pStyle w:val="ListBullet"/>
        <w:spacing w:after="80" w:line="252" w:lineRule="auto"/>
      </w:pPr>
      <w:r>
        <w:t>clear error state;</w:t>
      </w:r>
    </w:p>
    <w:p>
      <w:pPr>
        <w:pStyle w:val="ListBullet"/>
        <w:spacing w:after="80" w:line="252" w:lineRule="auto"/>
      </w:pPr>
      <w:r>
        <w:t>units visible for measurement fields where applicable;</w:t>
      </w:r>
    </w:p>
    <w:p>
      <w:pPr>
        <w:pStyle w:val="ListBullet"/>
        <w:spacing w:after="80" w:line="252" w:lineRule="auto"/>
      </w:pPr>
      <w:r>
        <w:t>numeric keyboard for numeric input;</w:t>
      </w:r>
    </w:p>
    <w:p>
      <w:pPr>
        <w:pStyle w:val="ListBullet"/>
        <w:spacing w:after="80" w:line="252" w:lineRule="auto"/>
      </w:pPr>
      <w:r>
        <w:t>password visibility control only where specified;</w:t>
      </w:r>
    </w:p>
    <w:p>
      <w:pPr>
        <w:pStyle w:val="ListBullet"/>
        <w:spacing w:after="80" w:line="252" w:lineRule="auto"/>
      </w:pPr>
      <w:r>
        <w:t>read-only fields must not visually imitate editable inputs without a clear read-only treatment.</w:t>
      </w:r>
    </w:p>
    <w:p>
      <w:pPr>
        <w:pStyle w:val="Heading2"/>
        <w:keepNext/>
        <w:spacing w:after="80" w:line="252" w:lineRule="auto" w:before="200"/>
      </w:pPr>
      <w:r>
        <w:t>8.5 Search</w:t>
      </w:r>
    </w:p>
    <w:p>
      <w:pPr>
        <w:spacing w:after="80" w:line="252" w:lineRule="auto"/>
      </w:pPr>
      <w:r>
        <w:t>Search fields use the same input family but may use a compact leading search icon. Search scope and searchable attributes are defined by Doc06/field contracts, not by this document.</w:t>
      </w:r>
    </w:p>
    <w:p>
      <w:pPr>
        <w:pStyle w:val="Heading2"/>
        <w:keepNext/>
        <w:spacing w:after="80" w:line="252" w:lineRule="auto" w:before="200"/>
      </w:pPr>
      <w:r>
        <w:t>8.6 Cards and List Rows</w:t>
      </w:r>
    </w:p>
    <w:p>
      <w:pPr>
        <w:spacing w:after="80" w:line="252" w:lineRule="auto"/>
      </w:pPr>
      <w:r>
        <w:t>Cards:</w:t>
      </w:r>
    </w:p>
    <w:p>
      <w:pPr>
        <w:pStyle w:val="ListBullet"/>
        <w:spacing w:after="80" w:line="252" w:lineRule="auto"/>
      </w:pPr>
      <w:r>
        <w:t>white surface;</w:t>
      </w:r>
    </w:p>
    <w:p>
      <w:pPr>
        <w:pStyle w:val="ListBullet"/>
        <w:spacing w:after="80" w:line="252" w:lineRule="auto"/>
      </w:pPr>
      <w:r>
        <w:t>1dp border;</w:t>
      </w:r>
    </w:p>
    <w:p>
      <w:pPr>
        <w:pStyle w:val="ListBullet"/>
        <w:spacing w:after="80" w:line="252" w:lineRule="auto"/>
      </w:pPr>
      <w:r>
        <w:t>8dp radius;</w:t>
      </w:r>
    </w:p>
    <w:p>
      <w:pPr>
        <w:pStyle w:val="ListBullet"/>
        <w:spacing w:after="80" w:line="252" w:lineRule="auto"/>
      </w:pPr>
      <w:r>
        <w:t>16dp typical internal padding.</w:t>
      </w:r>
    </w:p>
    <w:p>
      <w:pPr>
        <w:spacing w:after="80" w:line="252" w:lineRule="auto"/>
      </w:pPr>
      <w:r>
        <w:t>Operational lists should favor efficient rows over oversized marketing cards. Large datasets must remain compatible with lazy list implementations.</w:t>
      </w:r>
    </w:p>
    <w:p>
      <w:pPr>
        <w:pStyle w:val="Heading2"/>
        <w:keepNext/>
        <w:spacing w:after="80" w:line="252" w:lineRule="auto" w:before="200"/>
      </w:pPr>
      <w:r>
        <w:t>8.7 Status Chips</w:t>
      </w:r>
    </w:p>
    <w:p>
      <w:pPr>
        <w:spacing w:after="80" w:line="252" w:lineRule="auto"/>
      </w:pPr>
      <w:r>
        <w:t>Status chips must include readable text. A dot or icon may supplement the label.</w:t>
      </w:r>
    </w:p>
    <w:p>
      <w:pPr>
        <w:spacing w:after="80" w:line="252" w:lineRule="auto"/>
      </w:pPr>
      <w:r>
        <w:t>Suggested semantic presentation:</w:t>
      </w:r>
    </w:p>
    <w:p>
      <w:pPr>
        <w:pStyle w:val="ListBullet"/>
        <w:spacing w:after="80" w:line="252" w:lineRule="auto"/>
      </w:pPr>
      <w:r>
        <w:t>positive/final validated state: success family;</w:t>
      </w:r>
    </w:p>
    <w:p>
      <w:pPr>
        <w:pStyle w:val="ListBullet"/>
        <w:spacing w:after="80" w:line="252" w:lineRule="auto"/>
      </w:pPr>
      <w:r>
        <w:t>warning/pending attention: warning family;</w:t>
      </w:r>
    </w:p>
    <w:p>
      <w:pPr>
        <w:pStyle w:val="ListBullet"/>
        <w:spacing w:after="80" w:line="252" w:lineRule="auto"/>
      </w:pPr>
      <w:r>
        <w:t>error/conflict: error family;</w:t>
      </w:r>
    </w:p>
    <w:p>
      <w:pPr>
        <w:pStyle w:val="ListBullet"/>
        <w:spacing w:after="80" w:line="252" w:lineRule="auto"/>
      </w:pPr>
      <w:r>
        <w:t>neutral/inactive/context: slate family.</w:t>
      </w:r>
    </w:p>
    <w:p>
      <w:pPr>
        <w:spacing w:after="80" w:line="252" w:lineRule="auto"/>
      </w:pPr>
      <w:r>
        <w:t>The actual displayed state text must always come from the V6 contract.</w:t>
      </w:r>
    </w:p>
    <w:p>
      <w:pPr>
        <w:pStyle w:val="Heading2"/>
        <w:keepNext/>
        <w:spacing w:after="80" w:line="252" w:lineRule="auto" w:before="200"/>
      </w:pPr>
      <w:r>
        <w:t>8.8 Sync Indicator</w:t>
      </w:r>
    </w:p>
    <w:p>
      <w:pPr>
        <w:spacing w:after="80" w:line="252" w:lineRule="auto"/>
      </w:pPr>
      <w:r>
        <w:t>Synchronization state should be visible where required by the V6 screen/offline contract.</w:t>
      </w:r>
    </w:p>
    <w:p>
      <w:pPr>
        <w:spacing w:after="80" w:line="252" w:lineRule="auto"/>
      </w:pPr>
      <w:r>
        <w:t>The indicator must:</w:t>
      </w:r>
    </w:p>
    <w:p>
      <w:pPr>
        <w:pStyle w:val="ListBullet"/>
        <w:spacing w:after="80" w:line="252" w:lineRule="auto"/>
      </w:pPr>
      <w:r>
        <w:t>contain text, not color alone;</w:t>
      </w:r>
    </w:p>
    <w:p>
      <w:pPr>
        <w:pStyle w:val="ListBullet"/>
        <w:spacing w:after="80" w:line="252" w:lineRule="auto"/>
      </w:pPr>
      <w:r>
        <w:t>distinguish synchronized, pending/offline, syncing, error/conflict as defined by the approved sync specification;</w:t>
      </w:r>
    </w:p>
    <w:p>
      <w:pPr>
        <w:pStyle w:val="ListBullet"/>
        <w:spacing w:after="80" w:line="252" w:lineRule="auto"/>
      </w:pPr>
      <w:r>
        <w:t>never imply successful synchronization merely because data exists locally.</w:t>
      </w:r>
    </w:p>
    <w:p>
      <w:pPr>
        <w:pStyle w:val="Heading2"/>
        <w:keepNext/>
        <w:spacing w:after="80" w:line="252" w:lineRule="auto" w:before="200"/>
      </w:pPr>
      <w:r>
        <w:t>8.9 Filters, Tabs and Segmented Controls</w:t>
      </w:r>
    </w:p>
    <w:p>
      <w:pPr>
        <w:spacing w:after="80" w:line="252" w:lineRule="auto"/>
      </w:pPr>
      <w:r>
        <w:t>Use compact controls with at least 48dp accessible touch bounds.</w:t>
      </w:r>
    </w:p>
    <w:p>
      <w:pPr>
        <w:spacing w:after="80" w:line="252" w:lineRule="auto"/>
      </w:pPr>
      <w:r>
        <w:t>For Stocktaking, labels are exactly:</w:t>
      </w:r>
    </w:p>
    <w:p>
      <w:pPr>
        <w:spacing w:after="80" w:line="252" w:lineRule="auto"/>
      </w:pPr>
      <w:r>
        <w:t>To Do / Issues / Validated / All.</w:t>
      </w:r>
    </w:p>
    <w:p>
      <w:pPr>
        <w:spacing w:after="80" w:line="252" w:lineRule="auto"/>
      </w:pPr>
      <w:r>
        <w:t>For Campaign status filtering:</w:t>
      </w:r>
    </w:p>
    <w:p>
      <w:pPr>
        <w:spacing w:after="80" w:line="252" w:lineRule="auto"/>
      </w:pPr>
      <w:r>
        <w:t>Active / Completed / All where the relevant screen contract permits All.</w:t>
      </w:r>
    </w:p>
    <w:p>
      <w:pPr>
        <w:spacing w:after="80" w:line="252" w:lineRule="auto"/>
      </w:pPr>
      <w:r>
        <w:t>Do not introduce Draft, Upcoming, In Progress, Recount, Reconciled, or other unapproved statuses.</w:t>
      </w:r>
    </w:p>
    <w:p>
      <w:pPr>
        <w:pStyle w:val="Heading2"/>
        <w:keepNext/>
        <w:spacing w:after="80" w:line="252" w:lineRule="auto" w:before="200"/>
      </w:pPr>
      <w:r>
        <w:t>8.10 Bottom Sheets and Dialogs</w:t>
      </w:r>
    </w:p>
    <w:p>
      <w:pPr>
        <w:spacing w:after="80" w:line="252" w:lineRule="auto"/>
      </w:pPr>
      <w:r>
        <w:t>Use 12dp container radius and clear hierarchy:</w:t>
      </w:r>
    </w:p>
    <w:p>
      <w:pPr>
        <w:pStyle w:val="ListBullet"/>
        <w:spacing w:after="80" w:line="252" w:lineRule="auto"/>
      </w:pPr>
      <w:r>
        <w:t>title;</w:t>
      </w:r>
    </w:p>
    <w:p>
      <w:pPr>
        <w:pStyle w:val="ListBullet"/>
        <w:spacing w:after="80" w:line="252" w:lineRule="auto"/>
      </w:pPr>
      <w:r>
        <w:t>contextual explanation if required;</w:t>
      </w:r>
    </w:p>
    <w:p>
      <w:pPr>
        <w:pStyle w:val="ListBullet"/>
        <w:spacing w:after="80" w:line="252" w:lineRule="auto"/>
      </w:pPr>
      <w:r>
        <w:t>fields/content;</w:t>
      </w:r>
    </w:p>
    <w:p>
      <w:pPr>
        <w:pStyle w:val="ListBullet"/>
        <w:spacing w:after="80" w:line="252" w:lineRule="auto"/>
      </w:pPr>
      <w:r>
        <w:t>explicit primary/secondary actions.</w:t>
      </w:r>
    </w:p>
    <w:p>
      <w:pPr>
        <w:spacing w:after="80" w:line="252" w:lineRule="auto"/>
      </w:pPr>
      <w:r>
        <w:t>Sheets must implement only the seven sheet contracts defined by Doc06 unless a later approved V6 change adds another.</w:t>
      </w:r>
    </w:p>
    <w:p>
      <w:pPr>
        <w:pStyle w:val="Heading2"/>
        <w:keepNext/>
        <w:spacing w:after="80" w:line="252" w:lineRule="auto" w:before="200"/>
      </w:pPr>
      <w:r>
        <w:t>8.11 Empty, Loading, Error and Offline States</w:t>
      </w:r>
    </w:p>
    <w:p>
      <w:pPr>
        <w:spacing w:after="80" w:line="252" w:lineRule="auto"/>
      </w:pPr>
      <w:r>
        <w:t>Every screen should render the states defined in its Doc06 contract.</w:t>
      </w:r>
    </w:p>
    <w:p>
      <w:pPr>
        <w:spacing w:after="80" w:line="252" w:lineRule="auto"/>
      </w:pPr>
      <w:r>
        <w:t>Empty states:</w:t>
      </w:r>
    </w:p>
    <w:p>
      <w:pPr>
        <w:pStyle w:val="ListBullet"/>
        <w:spacing w:after="80" w:line="252" w:lineRule="auto"/>
      </w:pPr>
      <w:r>
        <w:t>concise;</w:t>
      </w:r>
    </w:p>
    <w:p>
      <w:pPr>
        <w:pStyle w:val="ListBullet"/>
        <w:spacing w:after="80" w:line="252" w:lineRule="auto"/>
      </w:pPr>
      <w:r>
        <w:t>operational;</w:t>
      </w:r>
    </w:p>
    <w:p>
      <w:pPr>
        <w:pStyle w:val="ListBullet"/>
        <w:spacing w:after="80" w:line="252" w:lineRule="auto"/>
      </w:pPr>
      <w:r>
        <w:t>no invented business action.</w:t>
      </w:r>
    </w:p>
    <w:p>
      <w:pPr>
        <w:spacing w:after="80" w:line="252" w:lineRule="auto"/>
      </w:pPr>
      <w:r>
        <w:t>Loading:</w:t>
      </w:r>
    </w:p>
    <w:p>
      <w:pPr>
        <w:pStyle w:val="ListBullet"/>
        <w:spacing w:after="80" w:line="252" w:lineRule="auto"/>
      </w:pPr>
      <w:r>
        <w:t>skeleton/progress presentation may be used;</w:t>
      </w:r>
    </w:p>
    <w:p>
      <w:pPr>
        <w:pStyle w:val="ListBullet"/>
        <w:spacing w:after="80" w:line="252" w:lineRule="auto"/>
      </w:pPr>
      <w:r>
        <w:t>must not display stale values as current without indication.</w:t>
      </w:r>
    </w:p>
    <w:p>
      <w:pPr>
        <w:spacing w:after="80" w:line="252" w:lineRule="auto"/>
      </w:pPr>
      <w:r>
        <w:t>Error:</w:t>
      </w:r>
    </w:p>
    <w:p>
      <w:pPr>
        <w:pStyle w:val="ListBullet"/>
        <w:spacing w:after="80" w:line="252" w:lineRule="auto"/>
      </w:pPr>
      <w:r>
        <w:t>clear message;</w:t>
      </w:r>
    </w:p>
    <w:p>
      <w:pPr>
        <w:pStyle w:val="ListBullet"/>
        <w:spacing w:after="80" w:line="252" w:lineRule="auto"/>
      </w:pPr>
      <w:r>
        <w:t>retry only where retry is valid.</w:t>
      </w:r>
    </w:p>
    <w:p>
      <w:pPr>
        <w:spacing w:after="80" w:line="252" w:lineRule="auto"/>
      </w:pPr>
      <w:r>
        <w:t>Offline/local:</w:t>
      </w:r>
    </w:p>
    <w:p>
      <w:pPr>
        <w:pStyle w:val="ListBullet"/>
        <w:spacing w:after="80" w:line="252" w:lineRule="auto"/>
      </w:pPr>
      <w:r>
        <w:t>clearly distinguish local availability from server synchronization.</w:t>
      </w:r>
    </w:p>
    <w:p>
      <w:pPr>
        <w:pStyle w:val="Heading1"/>
        <w:keepNext/>
        <w:spacing w:after="80" w:line="252" w:lineRule="auto" w:before="200"/>
      </w:pPr>
      <w:r>
        <w:t>9. Adaptive Layout</w:t>
      </w:r>
    </w:p>
    <w:p>
      <w:pPr>
        <w:pStyle w:val="Heading2"/>
        <w:keepNext/>
        <w:spacing w:after="80" w:line="252" w:lineRule="auto" w:before="200"/>
      </w:pPr>
      <w:r>
        <w:t>9.1 Compact phone — under 600dp</w:t>
      </w:r>
    </w:p>
    <w:p>
      <w:pPr>
        <w:pStyle w:val="ListBullet"/>
        <w:spacing w:after="80" w:line="252" w:lineRule="auto"/>
      </w:pPr>
      <w:r>
        <w:t>16dp horizontal margin;</w:t>
      </w:r>
    </w:p>
    <w:p>
      <w:pPr>
        <w:pStyle w:val="ListBullet"/>
        <w:spacing w:after="80" w:line="252" w:lineRule="auto"/>
      </w:pPr>
      <w:r>
        <w:t>single-column primary workflow;</w:t>
      </w:r>
    </w:p>
    <w:p>
      <w:pPr>
        <w:pStyle w:val="ListBullet"/>
        <w:spacing w:after="80" w:line="252" w:lineRule="auto"/>
      </w:pPr>
      <w:r>
        <w:t>persistent bottom navigation on operational shell screens;</w:t>
      </w:r>
    </w:p>
    <w:p>
      <w:pPr>
        <w:pStyle w:val="ListBullet"/>
        <w:spacing w:after="80" w:line="252" w:lineRule="auto"/>
      </w:pPr>
      <w:r>
        <w:t>forms stack vertically;</w:t>
      </w:r>
    </w:p>
    <w:p>
      <w:pPr>
        <w:pStyle w:val="ListBullet"/>
        <w:spacing w:after="80" w:line="252" w:lineRule="auto"/>
      </w:pPr>
      <w:r>
        <w:t>avoid horizontal scrolling for primary workflows.</w:t>
      </w:r>
    </w:p>
    <w:p>
      <w:pPr>
        <w:pStyle w:val="Heading2"/>
        <w:keepNext/>
        <w:spacing w:after="80" w:line="252" w:lineRule="auto" w:before="200"/>
      </w:pPr>
      <w:r>
        <w:t>9.2 Medium width — 600dp to 839dp</w:t>
      </w:r>
    </w:p>
    <w:p>
      <w:pPr>
        <w:pStyle w:val="ListBullet"/>
        <w:spacing w:after="80" w:line="252" w:lineRule="auto"/>
      </w:pPr>
      <w:r>
        <w:t>24dp horizontal margin;</w:t>
      </w:r>
    </w:p>
    <w:p>
      <w:pPr>
        <w:pStyle w:val="ListBullet"/>
        <w:spacing w:after="80" w:line="252" w:lineRule="auto"/>
      </w:pPr>
      <w:r>
        <w:t>wider lists and forms;</w:t>
      </w:r>
    </w:p>
    <w:p>
      <w:pPr>
        <w:pStyle w:val="ListBullet"/>
        <w:spacing w:after="80" w:line="252" w:lineRule="auto"/>
      </w:pPr>
      <w:r>
        <w:t>adaptive navigation presentation may use a navigation rail when appropriate to the approved V6 adaptive architecture;</w:t>
      </w:r>
    </w:p>
    <w:p>
      <w:pPr>
        <w:pStyle w:val="ListBullet"/>
        <w:spacing w:after="80" w:line="252" w:lineRule="auto"/>
      </w:pPr>
      <w:r>
        <w:t>two-pane/master-detail treatment may be used where the relevant screen contract permits it;</w:t>
      </w:r>
    </w:p>
    <w:p>
      <w:pPr>
        <w:pStyle w:val="ListBullet"/>
        <w:spacing w:after="80" w:line="252" w:lineRule="auto"/>
      </w:pPr>
      <w:r>
        <w:t>the five canonical destinations and their order/identity remain unchanged.</w:t>
      </w:r>
    </w:p>
    <w:p>
      <w:pPr>
        <w:pStyle w:val="Heading2"/>
        <w:keepNext/>
        <w:spacing w:after="80" w:line="252" w:lineRule="auto" w:before="200"/>
      </w:pPr>
      <w:r>
        <w:t>9.3 Expanded width — 840dp and above</w:t>
      </w:r>
    </w:p>
    <w:p>
      <w:pPr>
        <w:pStyle w:val="ListBullet"/>
        <w:spacing w:after="80" w:line="252" w:lineRule="auto"/>
      </w:pPr>
      <w:r>
        <w:t>32dp horizontal margin where appropriate;</w:t>
      </w:r>
    </w:p>
    <w:p>
      <w:pPr>
        <w:pStyle w:val="ListBullet"/>
        <w:spacing w:after="80" w:line="252" w:lineRule="auto"/>
      </w:pPr>
      <w:r>
        <w:t>navigation rail is the preferred adaptive presentation for the same five canonical operational destinations;</w:t>
      </w:r>
    </w:p>
    <w:p>
      <w:pPr>
        <w:pStyle w:val="ListBullet"/>
        <w:spacing w:after="80" w:line="252" w:lineRule="auto"/>
      </w:pPr>
      <w:r>
        <w:t>multi-column, list-detail, or supporting-pane layouts may be used where the relevant screen contract permits;</w:t>
      </w:r>
    </w:p>
    <w:p>
      <w:pPr>
        <w:pStyle w:val="ListBullet"/>
        <w:spacing w:after="80" w:line="252" w:lineRule="auto"/>
      </w:pPr>
      <w:r>
        <w:t>adaptive presentation must never create, remove, rename, reorder, or semantically change canonical destinations.</w:t>
      </w:r>
    </w:p>
    <w:p>
      <w:pPr>
        <w:pStyle w:val="Heading2"/>
        <w:keepNext/>
        <w:spacing w:after="80" w:line="252" w:lineRule="auto" w:before="200"/>
      </w:pPr>
      <w:r>
        <w:t>9.4 Orientation</w:t>
      </w:r>
    </w:p>
    <w:p>
      <w:pPr>
        <w:spacing w:after="80" w:line="252" w:lineRule="auto"/>
      </w:pPr>
      <w:r>
        <w:t>Portrait and landscape must both remain usable. Rotation may rearrange layout but must not change permissions, available actions, workflow state, or business semantics.</w:t>
      </w:r>
    </w:p>
    <w:p>
      <w:pPr>
        <w:pStyle w:val="Heading1"/>
        <w:keepNext/>
        <w:spacing w:after="80" w:line="252" w:lineRule="auto" w:before="200"/>
      </w:pPr>
      <w:r>
        <w:t>10. Accessibility</w:t>
      </w:r>
    </w:p>
    <w:p>
      <w:pPr>
        <w:spacing w:after="80" w:line="252" w:lineRule="auto"/>
      </w:pPr>
      <w:r>
        <w:t>Minimum requirements:</w:t>
      </w:r>
    </w:p>
    <w:p>
      <w:pPr>
        <w:pStyle w:val="ListBullet"/>
        <w:spacing w:after="80" w:line="252" w:lineRule="auto"/>
      </w:pPr>
      <w:r>
        <w:t>48dp × 48dp interactive target;</w:t>
      </w:r>
    </w:p>
    <w:p>
      <w:pPr>
        <w:pStyle w:val="ListBullet"/>
        <w:spacing w:after="80" w:line="252" w:lineRule="auto"/>
      </w:pPr>
      <w:r>
        <w:t>meaningful content descriptions for actionable icons;</w:t>
      </w:r>
    </w:p>
    <w:p>
      <w:pPr>
        <w:pStyle w:val="ListBullet"/>
        <w:spacing w:after="80" w:line="252" w:lineRule="auto"/>
      </w:pPr>
      <w:r>
        <w:t>text/icon labels for critical status;</w:t>
      </w:r>
    </w:p>
    <w:p>
      <w:pPr>
        <w:pStyle w:val="ListBullet"/>
        <w:spacing w:after="80" w:line="252" w:lineRule="auto"/>
      </w:pPr>
      <w:r>
        <w:t>no color-only error/state communication;</w:t>
      </w:r>
    </w:p>
    <w:p>
      <w:pPr>
        <w:pStyle w:val="ListBullet"/>
        <w:spacing w:after="80" w:line="252" w:lineRule="auto"/>
      </w:pPr>
      <w:r>
        <w:t>sufficient foreground/background contrast;</w:t>
      </w:r>
    </w:p>
    <w:p>
      <w:pPr>
        <w:pStyle w:val="ListBullet"/>
        <w:spacing w:after="80" w:line="252" w:lineRule="auto"/>
      </w:pPr>
      <w:r>
        <w:t>support Android font scaling without clipping critical actions or values;</w:t>
      </w:r>
    </w:p>
    <w:p>
      <w:pPr>
        <w:pStyle w:val="ListBullet"/>
        <w:spacing w:after="80" w:line="252" w:lineRule="auto"/>
      </w:pPr>
      <w:r>
        <w:t>logical TalkBack traversal order;</w:t>
      </w:r>
    </w:p>
    <w:p>
      <w:pPr>
        <w:pStyle w:val="ListBullet"/>
        <w:spacing w:after="80" w:line="252" w:lineRule="auto"/>
      </w:pPr>
      <w:r>
        <w:t>form errors associated with their field;</w:t>
      </w:r>
    </w:p>
    <w:p>
      <w:pPr>
        <w:pStyle w:val="ListBullet"/>
        <w:spacing w:after="80" w:line="252" w:lineRule="auto"/>
      </w:pPr>
      <w:r>
        <w:t>selected state programmatically exposed for tabs/navigation;</w:t>
      </w:r>
    </w:p>
    <w:p>
      <w:pPr>
        <w:pStyle w:val="ListBullet"/>
        <w:spacing w:after="80" w:line="252" w:lineRule="auto"/>
      </w:pPr>
      <w:r>
        <w:t>read-only vs editable state exposed semantically as well as visually.</w:t>
      </w:r>
    </w:p>
    <w:p>
      <w:pPr>
        <w:spacing w:after="80" w:line="252" w:lineRule="auto"/>
      </w:pPr>
      <w:r>
        <w:t>Target WCAG-style contrast:</w:t>
      </w:r>
    </w:p>
    <w:p>
      <w:pPr>
        <w:pStyle w:val="ListBullet"/>
        <w:spacing w:after="80" w:line="252" w:lineRule="auto"/>
      </w:pPr>
      <w:r>
        <w:t>normal text: at least 4.5:1;</w:t>
      </w:r>
    </w:p>
    <w:p>
      <w:pPr>
        <w:pStyle w:val="ListBullet"/>
        <w:spacing w:after="80" w:line="252" w:lineRule="auto"/>
      </w:pPr>
      <w:r>
        <w:t>large text / large UI text: at least 3:1;</w:t>
      </w:r>
    </w:p>
    <w:p>
      <w:pPr>
        <w:pStyle w:val="ListBullet"/>
        <w:spacing w:after="80" w:line="252" w:lineRule="auto"/>
      </w:pPr>
      <w:r>
        <w:t>meaningful non-text UI boundaries and state indicators: at least 3:1 where applicable.</w:t>
      </w:r>
    </w:p>
    <w:p>
      <w:pPr>
        <w:pStyle w:val="Heading1"/>
        <w:keepNext/>
        <w:spacing w:after="80" w:line="252" w:lineRule="auto" w:before="200"/>
      </w:pPr>
      <w:r>
        <w:t>11. Iconography</w:t>
      </w:r>
    </w:p>
    <w:p>
      <w:pPr>
        <w:spacing w:after="80" w:line="252" w:lineRule="auto"/>
      </w:pPr>
      <w:r>
        <w:t>Use one consistent Android-compatible icon family, preferably Material Symbols/Material Icons where licensing and implementation permit.</w:t>
      </w:r>
    </w:p>
    <w:p>
      <w:pPr>
        <w:spacing w:after="80" w:line="252" w:lineRule="auto"/>
      </w:pPr>
      <w:r>
        <w:t>Rules:</w:t>
      </w:r>
    </w:p>
    <w:p>
      <w:pPr>
        <w:pStyle w:val="ListBullet"/>
        <w:spacing w:after="80" w:line="252" w:lineRule="auto"/>
      </w:pPr>
      <w:r>
        <w:t>icons support labels; they do not replace ambiguous business terminology;</w:t>
      </w:r>
    </w:p>
    <w:p>
      <w:pPr>
        <w:pStyle w:val="ListBullet"/>
        <w:spacing w:after="80" w:line="252" w:lineRule="auto"/>
      </w:pPr>
      <w:r>
        <w:t>use conventional Android symbols for back, search, visibility, notifications, sync, overflow, add, edit, delete, filter, calendar and camera;</w:t>
      </w:r>
    </w:p>
    <w:p>
      <w:pPr>
        <w:pStyle w:val="ListBullet"/>
        <w:spacing w:after="80" w:line="252" w:lineRule="auto"/>
      </w:pPr>
      <w:r>
        <w:t>do not create domain icons suggesting sensors or features absent from V6;</w:t>
      </w:r>
    </w:p>
    <w:p>
      <w:pPr>
        <w:pStyle w:val="ListBullet"/>
        <w:spacing w:after="80" w:line="252" w:lineRule="auto"/>
      </w:pPr>
      <w:r>
        <w:t>destructive icons use error styling only when the action is actually destructive.</w:t>
      </w:r>
    </w:p>
    <w:p>
      <w:pPr>
        <w:pStyle w:val="Heading1"/>
        <w:keepNext/>
        <w:spacing w:after="80" w:line="252" w:lineRule="auto" w:before="200"/>
      </w:pPr>
      <w:r>
        <w:t>12. Screen Construction Rules for Stitch and Compose</w:t>
      </w:r>
    </w:p>
    <w:p>
      <w:pPr>
        <w:spacing w:after="80" w:line="252" w:lineRule="auto"/>
      </w:pPr>
      <w:r>
        <w:t>For every V6 screen:</w:t>
      </w:r>
    </w:p>
    <w:p>
      <w:pPr>
        <w:pStyle w:val="ListNumber"/>
        <w:spacing w:after="80" w:line="252" w:lineRule="auto"/>
      </w:pPr>
      <w:r>
        <w:t>Read the exact Doc06 screen contract.</w:t>
      </w:r>
    </w:p>
    <w:p>
      <w:pPr>
        <w:pStyle w:val="ListNumber"/>
        <w:spacing w:after="80" w:line="252" w:lineRule="auto"/>
      </w:pPr>
      <w:r>
        <w:t>Include every required field/control and no unapproved business control.</w:t>
      </w:r>
    </w:p>
    <w:p>
      <w:pPr>
        <w:pStyle w:val="ListNumber"/>
        <w:spacing w:after="80" w:line="252" w:lineRule="auto"/>
      </w:pPr>
      <w:r>
        <w:t>Apply this design system only to presentation.</w:t>
      </w:r>
    </w:p>
    <w:p>
      <w:pPr>
        <w:pStyle w:val="ListNumber"/>
        <w:spacing w:after="80" w:line="252" w:lineRule="auto"/>
      </w:pPr>
      <w:r>
        <w:t>Preserve canonical terminology.</w:t>
      </w:r>
    </w:p>
    <w:p>
      <w:pPr>
        <w:pStyle w:val="ListNumber"/>
        <w:spacing w:after="80" w:line="252" w:lineRule="auto"/>
      </w:pPr>
      <w:r>
        <w:t>Preserve exact navigation destinations.</w:t>
      </w:r>
    </w:p>
    <w:p>
      <w:pPr>
        <w:pStyle w:val="ListNumber"/>
        <w:spacing w:after="80" w:line="252" w:lineRule="auto"/>
      </w:pPr>
      <w:r>
        <w:t>Preserve role visibility rules.</w:t>
      </w:r>
    </w:p>
    <w:p>
      <w:pPr>
        <w:pStyle w:val="ListNumber"/>
        <w:spacing w:after="80" w:line="252" w:lineRule="auto"/>
      </w:pPr>
      <w:r>
        <w:t>Represent required loading/empty/error/offline states.</w:t>
      </w:r>
    </w:p>
    <w:p>
      <w:pPr>
        <w:pStyle w:val="ListNumber"/>
        <w:spacing w:after="80" w:line="252" w:lineRule="auto"/>
      </w:pPr>
      <w:r>
        <w:t>Keep critical status explicit in text.</w:t>
      </w:r>
    </w:p>
    <w:p>
      <w:pPr>
        <w:pStyle w:val="ListNumber"/>
        <w:spacing w:after="80" w:line="252" w:lineRule="auto"/>
      </w:pPr>
      <w:r>
        <w:t>Do not infer business data from decorative examples.</w:t>
      </w:r>
    </w:p>
    <w:p>
      <w:pPr>
        <w:pStyle w:val="ListNumber"/>
        <w:spacing w:after="80" w:line="252" w:lineRule="auto"/>
      </w:pPr>
      <w:r>
        <w:t>Treat static mockups as visual references, not proof of runtime behavior.</w:t>
      </w:r>
    </w:p>
    <w:p>
      <w:pPr>
        <w:spacing w:after="80" w:line="252" w:lineRule="auto"/>
      </w:pPr>
      <w:r>
        <w:t>For Stitch generation, prompts must explicitly state that Documents 01–20 remain authoritative for behavior and that this document supplies visual rules only.</w:t>
      </w:r>
    </w:p>
    <w:p>
      <w:pPr>
        <w:pStyle w:val="Heading1"/>
        <w:keepNext/>
        <w:spacing w:after="80" w:line="252" w:lineRule="auto" w:before="200"/>
      </w:pPr>
      <w:r>
        <w:t>13. Prohibited Design Drift</w:t>
      </w:r>
    </w:p>
    <w:p>
      <w:pPr>
        <w:spacing w:after="80" w:line="252" w:lineRule="auto"/>
      </w:pPr>
      <w:r>
        <w:t>The following must not be introduced by the design system unless separately approved by the product contract:</w:t>
      </w:r>
    </w:p>
    <w:p>
      <w:pPr>
        <w:pStyle w:val="ListBullet"/>
        <w:spacing w:after="80" w:line="252" w:lineRule="auto"/>
      </w:pPr>
      <w:r>
        <w:t>Reconciliation module or reconciliation workflow;</w:t>
      </w:r>
    </w:p>
    <w:p>
      <w:pPr>
        <w:pStyle w:val="ListBullet"/>
        <w:spacing w:after="80" w:line="252" w:lineRule="auto"/>
      </w:pPr>
      <w:r>
        <w:t>ERP/book-stock comparison;</w:t>
      </w:r>
    </w:p>
    <w:p>
      <w:pPr>
        <w:pStyle w:val="ListBullet"/>
        <w:spacing w:after="80" w:line="252" w:lineRule="auto"/>
      </w:pPr>
      <w:r>
        <w:t>variance acceptance workflow;</w:t>
      </w:r>
    </w:p>
    <w:p>
      <w:pPr>
        <w:pStyle w:val="ListBullet"/>
        <w:spacing w:after="80" w:line="252" w:lineRule="auto"/>
      </w:pPr>
      <w:r>
        <w:t>Draft Campaign state;</w:t>
      </w:r>
    </w:p>
    <w:p>
      <w:pPr>
        <w:pStyle w:val="ListBullet"/>
        <w:spacing w:after="80" w:line="252" w:lineRule="auto"/>
      </w:pPr>
      <w:r>
        <w:t>Upcoming or In Progress Campaign status;</w:t>
      </w:r>
    </w:p>
    <w:p>
      <w:pPr>
        <w:pStyle w:val="ListBullet"/>
        <w:spacing w:after="80" w:line="252" w:lineRule="auto"/>
      </w:pPr>
      <w:r>
        <w:t>customer-editable Geometry Families/formulas;</w:t>
      </w:r>
    </w:p>
    <w:p>
      <w:pPr>
        <w:pStyle w:val="ListBullet"/>
        <w:spacing w:after="80" w:line="252" w:lineRule="auto"/>
      </w:pPr>
      <w:r>
        <w:t>LiDAR/ultrasonic/IoT sensor telemetry;</w:t>
      </w:r>
    </w:p>
    <w:p>
      <w:pPr>
        <w:pStyle w:val="ListBullet"/>
        <w:spacing w:after="80" w:line="252" w:lineRule="auto"/>
      </w:pPr>
      <w:r>
        <w:t>temperature monitoring;</w:t>
      </w:r>
    </w:p>
    <w:p>
      <w:pPr>
        <w:pStyle w:val="ListBullet"/>
        <w:spacing w:after="80" w:line="252" w:lineRule="auto"/>
      </w:pPr>
      <w:r>
        <w:t>seal-breach workflows;</w:t>
      </w:r>
    </w:p>
    <w:p>
      <w:pPr>
        <w:pStyle w:val="ListBullet"/>
        <w:spacing w:after="80" w:line="252" w:lineRule="auto"/>
      </w:pPr>
      <w:r>
        <w:t>recount workflows;</w:t>
      </w:r>
    </w:p>
    <w:p>
      <w:pPr>
        <w:pStyle w:val="ListBullet"/>
        <w:spacing w:after="80" w:line="252" w:lineRule="auto"/>
      </w:pPr>
      <w:r>
        <w:t>calibration charts;</w:t>
      </w:r>
    </w:p>
    <w:p>
      <w:pPr>
        <w:pStyle w:val="ListBullet"/>
        <w:spacing w:after="80" w:line="252" w:lineRule="auto"/>
      </w:pPr>
      <w:r>
        <w:t>additional bottom-navigation destinations;</w:t>
      </w:r>
    </w:p>
    <w:p>
      <w:pPr>
        <w:pStyle w:val="ListBullet"/>
        <w:spacing w:after="80" w:line="252" w:lineRule="auto"/>
      </w:pPr>
      <w:r>
        <w:t>additional user roles;</w:t>
      </w:r>
    </w:p>
    <w:p>
      <w:pPr>
        <w:pStyle w:val="ListBullet"/>
        <w:spacing w:after="80" w:line="252" w:lineRule="auto"/>
      </w:pPr>
      <w:r>
        <w:t>desktop-only navigation assumptions;</w:t>
      </w:r>
    </w:p>
    <w:p>
      <w:pPr>
        <w:pStyle w:val="ListBullet"/>
        <w:spacing w:after="80" w:line="252" w:lineRule="auto"/>
      </w:pPr>
      <w:r>
        <w:t>business states encoded only by color;</w:t>
      </w:r>
    </w:p>
    <w:p>
      <w:pPr>
        <w:pStyle w:val="ListBullet"/>
        <w:spacing w:after="80" w:line="252" w:lineRule="auto"/>
      </w:pPr>
      <w:r>
        <w:t>hidden destructive actions;</w:t>
      </w:r>
    </w:p>
    <w:p>
      <w:pPr>
        <w:pStyle w:val="ListBullet"/>
        <w:spacing w:after="80" w:line="252" w:lineRule="auto"/>
      </w:pPr>
      <w:r>
        <w:t>visual controls that imply unsupported functionality.</w:t>
      </w:r>
    </w:p>
    <w:p>
      <w:pPr>
        <w:pStyle w:val="Heading1"/>
        <w:keepNext/>
        <w:spacing w:after="80" w:line="252" w:lineRule="auto" w:before="200"/>
      </w:pPr>
      <w:r>
        <w:t>14. Design Tokens — Compose Mapping</w:t>
      </w:r>
    </w:p>
    <w:p>
      <w:pPr>
        <w:spacing w:after="80" w:line="252" w:lineRule="auto"/>
      </w:pPr>
      <w:r>
        <w:t>Recommended semantic token groups for core/designsystem:</w:t>
      </w:r>
    </w:p>
    <w:p>
      <w:pPr>
        <w:pStyle w:val="ListBullet"/>
        <w:spacing w:after="80" w:line="252" w:lineRule="auto"/>
      </w:pPr>
      <w:r>
        <w:t>SiloMathColors</w:t>
      </w:r>
    </w:p>
    <w:p>
      <w:pPr>
        <w:pStyle w:val="ListBullet"/>
        <w:spacing w:after="80" w:line="252" w:lineRule="auto"/>
      </w:pPr>
      <w:r>
        <w:t>SiloMathTypography</w:t>
      </w:r>
    </w:p>
    <w:p>
      <w:pPr>
        <w:pStyle w:val="ListBullet"/>
        <w:spacing w:after="80" w:line="252" w:lineRule="auto"/>
      </w:pPr>
      <w:r>
        <w:t>SiloMathSpacing</w:t>
      </w:r>
    </w:p>
    <w:p>
      <w:pPr>
        <w:pStyle w:val="ListBullet"/>
        <w:spacing w:after="80" w:line="252" w:lineRule="auto"/>
      </w:pPr>
      <w:r>
        <w:t>SiloMathShapes</w:t>
      </w:r>
    </w:p>
    <w:p>
      <w:pPr>
        <w:pStyle w:val="ListBullet"/>
        <w:spacing w:after="80" w:line="252" w:lineRule="auto"/>
      </w:pPr>
      <w:r>
        <w:t>SiloMathElevation</w:t>
      </w:r>
    </w:p>
    <w:p>
      <w:pPr>
        <w:pStyle w:val="ListBullet"/>
        <w:spacing w:after="80" w:line="252" w:lineRule="auto"/>
      </w:pPr>
      <w:r>
        <w:t>SiloMathDimensions</w:t>
      </w:r>
    </w:p>
    <w:p>
      <w:pPr>
        <w:spacing w:after="80" w:line="252" w:lineRule="auto"/>
      </w:pPr>
      <w:r>
        <w:t>Reusable components should be semantic rather than screen-specific, for example:</w:t>
      </w:r>
    </w:p>
    <w:p>
      <w:pPr>
        <w:pStyle w:val="ListBullet"/>
        <w:spacing w:after="80" w:line="252" w:lineRule="auto"/>
      </w:pPr>
      <w:r>
        <w:t>SiloMathTopAppBar</w:t>
      </w:r>
    </w:p>
    <w:p>
      <w:pPr>
        <w:pStyle w:val="ListBullet"/>
        <w:spacing w:after="80" w:line="252" w:lineRule="auto"/>
      </w:pPr>
      <w:r>
        <w:t>SiloMathBottomNavigation</w:t>
      </w:r>
    </w:p>
    <w:p>
      <w:pPr>
        <w:pStyle w:val="ListBullet"/>
        <w:spacing w:after="80" w:line="252" w:lineRule="auto"/>
      </w:pPr>
      <w:r>
        <w:t>SiloMathPrimaryButton</w:t>
      </w:r>
    </w:p>
    <w:p>
      <w:pPr>
        <w:pStyle w:val="ListBullet"/>
        <w:spacing w:after="80" w:line="252" w:lineRule="auto"/>
      </w:pPr>
      <w:r>
        <w:t>SiloMathSecondaryButton</w:t>
      </w:r>
    </w:p>
    <w:p>
      <w:pPr>
        <w:pStyle w:val="ListBullet"/>
        <w:spacing w:after="80" w:line="252" w:lineRule="auto"/>
      </w:pPr>
      <w:r>
        <w:t>SiloMathTextField</w:t>
      </w:r>
    </w:p>
    <w:p>
      <w:pPr>
        <w:pStyle w:val="ListBullet"/>
        <w:spacing w:after="80" w:line="252" w:lineRule="auto"/>
      </w:pPr>
      <w:r>
        <w:t>SiloMathSearchField</w:t>
      </w:r>
    </w:p>
    <w:p>
      <w:pPr>
        <w:pStyle w:val="ListBullet"/>
        <w:spacing w:after="80" w:line="252" w:lineRule="auto"/>
      </w:pPr>
      <w:r>
        <w:t>SiloMathStatusChip</w:t>
      </w:r>
    </w:p>
    <w:p>
      <w:pPr>
        <w:pStyle w:val="ListBullet"/>
        <w:spacing w:after="80" w:line="252" w:lineRule="auto"/>
      </w:pPr>
      <w:r>
        <w:t>SiloMathSyncIndicator</w:t>
      </w:r>
    </w:p>
    <w:p>
      <w:pPr>
        <w:pStyle w:val="ListBullet"/>
        <w:spacing w:after="80" w:line="252" w:lineRule="auto"/>
      </w:pPr>
      <w:r>
        <w:t>SiloMathFilterChip</w:t>
      </w:r>
    </w:p>
    <w:p>
      <w:pPr>
        <w:pStyle w:val="ListBullet"/>
        <w:spacing w:after="80" w:line="252" w:lineRule="auto"/>
      </w:pPr>
      <w:r>
        <w:t>SiloMathCard</w:t>
      </w:r>
    </w:p>
    <w:p>
      <w:pPr>
        <w:pStyle w:val="ListBullet"/>
        <w:spacing w:after="80" w:line="252" w:lineRule="auto"/>
      </w:pPr>
      <w:r>
        <w:t>SiloMathListRow</w:t>
      </w:r>
    </w:p>
    <w:p>
      <w:pPr>
        <w:pStyle w:val="ListBullet"/>
        <w:spacing w:after="80" w:line="252" w:lineRule="auto"/>
      </w:pPr>
      <w:r>
        <w:t>SiloMathEmptyState</w:t>
      </w:r>
    </w:p>
    <w:p>
      <w:pPr>
        <w:pStyle w:val="ListBullet"/>
        <w:spacing w:after="80" w:line="252" w:lineRule="auto"/>
      </w:pPr>
      <w:r>
        <w:t>SiloMathErrorState</w:t>
      </w:r>
    </w:p>
    <w:p>
      <w:pPr>
        <w:pStyle w:val="ListBullet"/>
        <w:spacing w:after="80" w:line="252" w:lineRule="auto"/>
      </w:pPr>
      <w:r>
        <w:t>SiloMathOfflineBanner</w:t>
      </w:r>
    </w:p>
    <w:p>
      <w:pPr>
        <w:spacing w:after="80" w:line="252" w:lineRule="auto"/>
      </w:pPr>
      <w:r>
        <w:t>Component APIs must not embed business states that belong to feature/domain modules.</w:t>
      </w:r>
    </w:p>
    <w:p>
      <w:pPr>
        <w:pStyle w:val="Heading1"/>
        <w:keepNext/>
        <w:spacing w:after="80" w:line="252" w:lineRule="auto" w:before="200"/>
      </w:pPr>
      <w:r>
        <w:t>15. Acceptance Checklist</w:t>
      </w:r>
    </w:p>
    <w:p>
      <w:pPr>
        <w:spacing w:after="80" w:line="252" w:lineRule="auto"/>
      </w:pPr>
      <w:r>
        <w:t>The following design-system contract is approved and frozen:</w:t>
      </w:r>
    </w:p>
    <w:p>
      <w:pPr>
        <w:pStyle w:val="ListBullet"/>
        <w:spacing w:after="80" w:line="252" w:lineRule="auto"/>
      </w:pPr>
      <w:r>
        <w:t>☒ Color tokens approved.</w:t>
      </w:r>
    </w:p>
    <w:p>
      <w:pPr>
        <w:pStyle w:val="ListBullet"/>
        <w:spacing w:after="80" w:line="252" w:lineRule="auto"/>
      </w:pPr>
      <w:r>
        <w:t>☒ Typography approved.</w:t>
      </w:r>
    </w:p>
    <w:p>
      <w:pPr>
        <w:pStyle w:val="ListBullet"/>
        <w:spacing w:after="80" w:line="252" w:lineRule="auto"/>
      </w:pPr>
      <w:r>
        <w:t>☒ Spacing/grid approved.</w:t>
      </w:r>
    </w:p>
    <w:p>
      <w:pPr>
        <w:pStyle w:val="ListBullet"/>
        <w:spacing w:after="80" w:line="252" w:lineRule="auto"/>
      </w:pPr>
      <w:r>
        <w:t>☒ Shapes/radii approved.</w:t>
      </w:r>
    </w:p>
    <w:p>
      <w:pPr>
        <w:pStyle w:val="ListBullet"/>
        <w:spacing w:after="80" w:line="252" w:lineRule="auto"/>
      </w:pPr>
      <w:r>
        <w:t>☒ Elevation/no-blur rule approved.</w:t>
      </w:r>
    </w:p>
    <w:p>
      <w:pPr>
        <w:pStyle w:val="ListBullet"/>
        <w:spacing w:after="80" w:line="252" w:lineRule="auto"/>
      </w:pPr>
      <w:r>
        <w:t>☒ Button/input/card/list styling approved.</w:t>
      </w:r>
    </w:p>
    <w:p>
      <w:pPr>
        <w:pStyle w:val="ListBullet"/>
        <w:spacing w:after="80" w:line="252" w:lineRule="auto"/>
      </w:pPr>
      <w:r>
        <w:t>☒ Status and sync presentation approved.</w:t>
      </w:r>
    </w:p>
    <w:p>
      <w:pPr>
        <w:pStyle w:val="ListBullet"/>
        <w:spacing w:after="80" w:line="252" w:lineRule="auto"/>
      </w:pPr>
      <w:r>
        <w:t>☒ Canonical operational navigation presentation approved.</w:t>
      </w:r>
    </w:p>
    <w:p>
      <w:pPr>
        <w:pStyle w:val="ListBullet"/>
        <w:spacing w:after="80" w:line="252" w:lineRule="auto"/>
      </w:pPr>
      <w:r>
        <w:t>☒ Phone/tablet/orientation rules approved.</w:t>
      </w:r>
    </w:p>
    <w:p>
      <w:pPr>
        <w:pStyle w:val="ListBullet"/>
        <w:spacing w:after="80" w:line="252" w:lineRule="auto"/>
      </w:pPr>
      <w:r>
        <w:t>☒ Accessibility baseline approved.</w:t>
      </w:r>
    </w:p>
    <w:p>
      <w:pPr>
        <w:pStyle w:val="ListBullet"/>
        <w:spacing w:after="80" w:line="252" w:lineRule="auto"/>
      </w:pPr>
      <w:r>
        <w:t>☒ Icon family approved.</w:t>
      </w:r>
    </w:p>
    <w:p>
      <w:pPr>
        <w:pStyle w:val="ListBullet"/>
        <w:spacing w:after="80" w:line="252" w:lineRule="auto"/>
      </w:pPr>
      <w:r>
        <w:t>☒ Prohibited design drift list accepted.</w:t>
      </w:r>
    </w:p>
    <w:p>
      <w:pPr>
        <w:spacing w:after="80" w:line="252" w:lineRule="auto"/>
      </w:pPr>
      <w:r>
        <w:t>Implementation gate: before bulk-generating the complete Stitch screen set, generate one reference screen from Document 06 + Document 21 and verify it against both contracts. This is an implementation QA gate, not a condition on the frozen status of Document 21.</w:t>
      </w:r>
    </w:p>
    <w:p>
      <w:pPr>
        <w:pStyle w:val="Heading1"/>
        <w:keepNext/>
        <w:spacing w:after="80" w:line="252" w:lineRule="auto" w:before="200"/>
      </w:pPr>
      <w:r>
        <w:t>16. Freeze Rule</w:t>
      </w:r>
    </w:p>
    <w:p>
      <w:pPr>
        <w:spacing w:after="80" w:line="252" w:lineRule="auto"/>
      </w:pPr>
      <w:r>
        <w:t>This document is APPROVED / FROZEN V6 and is the canonical visual-design authority for SiloMath V6.</w:t>
      </w:r>
    </w:p>
    <w:p>
      <w:pPr>
        <w:spacing w:after="80" w:line="252" w:lineRule="auto"/>
      </w:pPr>
      <w:r>
        <w:t>Changes to colors, typography, spacing, shapes, shared component presentation, accessibility baseline, iconography, or adaptive visual rules require an explicit approved revision of Document 21.</w:t>
      </w:r>
    </w:p>
    <w:p>
      <w:pPr>
        <w:spacing w:after="80" w:line="252" w:lineRule="auto"/>
      </w:pPr>
      <w:r>
        <w:t>Changes to product behavior must not be made here; they belong in the appropriate V6 product/functional document. Where visual implementation exposes a semantic ambiguity or conflict, implementation must stop and the relevant authoritative V6 document must be consulted rather than silently changing behavior.</w:t>
      </w:r>
    </w:p>
    <w:p>
      <w:pPr>
        <w:spacing w:after="80" w:line="252" w:lineRule="auto"/>
      </w:pPr>
      <w:r>
        <w:t>End of Document 21 — SiloMath V6 UI Design System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F3460"/>
        <w:sz w:val="16"/>
      </w:rPr>
      <w:t>APPROVED / FROZEN V6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SiloMath V6  |  Document 21 — UI Design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