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SiloMath V6 — 08 MODULE_ARCHITECTURE</w:t>
      </w:r>
    </w:p>
    <w:p>
      <w:pPr>
        <w:spacing w:after="60"/>
      </w:pPr>
      <w:r>
        <w:rPr>
          <w:b/>
        </w:rPr>
        <w:t>Document ID:</w:t>
      </w:r>
      <w:r>
        <w:t xml:space="preserve"> 08_MODULE_ARCHITECTURE  </w:t>
      </w:r>
    </w:p>
    <w:p>
      <w:pPr>
        <w:spacing w:after="60"/>
      </w:pPr>
      <w:r>
        <w:rPr>
          <w:b/>
        </w:rPr>
        <w:t>Version:</w:t>
      </w:r>
      <w:r>
        <w:t xml:space="preserve"> V6 Final Documentation — Module Architecture 1.0  </w:t>
      </w:r>
    </w:p>
    <w:p>
      <w:pPr>
        <w:spacing w:after="60"/>
      </w:pPr>
      <w:r>
        <w:t xml:space="preserve">Status: APPROVED / FROZEN V6  </w:t>
      </w:r>
    </w:p>
    <w:p>
      <w:pPr>
        <w:spacing w:after="60"/>
      </w:pPr>
      <w:r>
        <w:rPr>
          <w:b/>
        </w:rPr>
        <w:t>Product:</w:t>
      </w:r>
      <w:r>
        <w:t xml:space="preserve"> SiloMath  </w:t>
      </w:r>
    </w:p>
    <w:p>
      <w:pPr>
        <w:spacing w:after="60"/>
      </w:pPr>
      <w:r>
        <w:rPr>
          <w:b/>
        </w:rPr>
        <w:t>Normative role:</w:t>
      </w:r>
      <w:r>
        <w:t xml:space="preserve"> Canonical implementation contract for Gradle module boundaries, ownership, allowed dependencies, composition, dependency injection and incremental migration.</w:t>
      </w:r>
    </w:p>
    <w:p>
      <w:pPr>
        <w:pStyle w:val="Heading1"/>
      </w:pPr>
      <w:r>
        <w:t>1. Purpose and authority</w:t>
      </w:r>
    </w:p>
    <w:p>
      <w:pPr>
        <w:spacing w:after="60"/>
      </w:pPr>
      <w:r>
        <w:t>This document translates the approved V6 product and architecture contract into an implementable Gradle module topology. It is subordinate to the frozen Product Baseline, Decision Register, Business Rules, Roles &amp; Permissions, Workflows, UI/Navigation specification and Architecture document. If a module convenience conflicts with a frozen business rule, permission, workflow, UI contract, offline rule, calculation rule or historical-integrity rule, the higher-level contract wins.</w:t>
      </w:r>
    </w:p>
    <w:p>
      <w:pPr>
        <w:spacing w:after="60"/>
      </w:pPr>
      <w:r>
        <w:t xml:space="preserve">The target architecture is pragmatic modularization, not micro-modularization. There is no module per screen, entity, use case or database table. Feature modules may depend on approved Core modules; Core modules must not depend on Feature modules. </w:t>
      </w:r>
      <w:r>
        <w:rPr>
          <w:rFonts w:ascii="Consolas" w:hAnsi="Consolas"/>
          <w:sz w:val="16"/>
        </w:rPr>
        <w:t>:app</w:t>
      </w:r>
      <w:r>
        <w:t xml:space="preserve"> is the composition root and contains minimal business logic. The Calculation Engine is a separate pure Kotlin boundary.</w:t>
      </w:r>
    </w:p>
    <w:p>
      <w:pPr>
        <w:pStyle w:val="Heading1"/>
      </w:pPr>
      <w:r>
        <w:t>2. Frozen target module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4"/>
              </w:rPr>
              <w:t>Module</w:t>
            </w:r>
          </w:p>
        </w:tc>
        <w:tc>
          <w:tcPr>
            <w:tcW w:type="dxa" w:w="3456"/>
          </w:tcPr>
          <w:p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3456"/>
          </w:tcPr>
          <w:p>
            <w:r>
              <w:rPr>
                <w:b/>
                <w:sz w:val="14"/>
              </w:rPr>
              <w:t>Primary ownership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:app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Application composition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Application root, Hilt/application bootstrap, top-level shell composition, root Navigation Compose graph assembly, environment wiring.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:core:model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Shared contract models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Small stable cross-module value models/enums/identifiers that genuinely cross feature/domain boundaries; no behavior-heavy aggregates.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:core:common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Cross-cutting primitives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Result/error primitives, clock/dispatcher abstractions, safe utility primitives, shared constants only when truly cross-cutting.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:core:domain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Domain contracts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Repository interfaces, cross-feature use cases/domain services, authorization/domain policies, canonical business invariants that are not calculation-engine formulas.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:core:database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Local persistence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Room database, entities, DAOs, migrations, transactions, local data sources, local read models, outbox persistence.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:core:network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Remote transport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Retrofit services, OkHttp configuration/interceptors, DTOs, API error decoding, auth transport support, evidence transfer clients.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:core:sync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Offline synchronization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Sync coordinator, WorkManager workers, outbox processing, dependency/order enforcement, retry classification, conflict persistence/orchestration, offline package refresh/integrity orchestration.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:core:designsystem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Reusable UI system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Material 3 theme, typography, spacing, adaptive primitives, reusable controls, status visuals, accessibility primitives.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:core:navigation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Navigation contracts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Typed/stable destination contracts, route arguments based on stable IDs, navigation interfaces/helpers and shell destination metadata.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:core:testing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Shared test support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Fakes/builders/test clocks/dispatchers, fixtures and assertions shared across module tests.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:feature:auth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Authentication feature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AUT-01, AUT-02, AUT-SH-01; session UI/state, sign-in/reset flows and auth-specific orchestration.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:feature:dashboard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Dashboard feature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DSH-01; authorized operational summary/read models and navigation actions.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:feature:masterdata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Master-data feature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ORG/LOC/STU/STS/GEO/COM/CLI screens and sheets; organization context UI, customer-managed master-data workflows and read-only governed commodity/family views.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:feature:campaigns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 feature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CAM-01/02/03; create &amp; launch, scope selector, team assignment, campaign detail/list.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:feature:stocktaking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Stocktaking feature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STK-01/02/03/05 and P0-SH-01 Report Issue; measurement, Mark Empty, Validate, Reset Validation authorization flow, issue/evidence interaction.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:feature:close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 Close feature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CLS-01/02; review, Close Guards presentation, online atomic Close orchestration and immutable snapshot presentation.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:feature:reports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Reporting feature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RPT-01/02, HIS-01, DOS-01; nine canonical report types except Audit Trail UI ownership below, snapshot-based datasets and PDF/CSV export initiation.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:feature:administration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Administration/platform feature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USR-01/02, MOR-01, NOT-01, SYN-01, SET-01, SUP-01, AUD-01; users, settings, notifications, sync status, support and Admin-only Audit Trail.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:calculation-engine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Pure Kotlin calculation engine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Deterministic Measurement normalization/aggregation, EffectiveFillHeight, 10 geometry-family volume functions, quantity calculation, validation/fingerprint/version metadata.</w:t>
            </w:r>
          </w:p>
        </w:tc>
      </w:tr>
    </w:tbl>
    <w:p/>
    <w:p>
      <w:pPr>
        <w:spacing w:after="60"/>
      </w:pPr>
      <w:r>
        <w:rPr>
          <w:b/>
        </w:rPr>
        <w:t>Frozen target count:</w:t>
      </w:r>
      <w:r>
        <w:t xml:space="preserve"> 19 Gradle modules. Any additional production module requires an approved architecture change; temporary migration modules are permitted only when explicitly documented and removed after migration.</w:t>
      </w:r>
    </w:p>
    <w:p>
      <w:pPr>
        <w:pStyle w:val="Heading1"/>
      </w:pPr>
      <w:r>
        <w:t>3. Architectural invariants</w:t>
      </w:r>
    </w:p>
    <w:p>
      <w:pPr>
        <w:pStyle w:val="ListBullet"/>
        <w:spacing w:after="20"/>
      </w:pPr>
      <w:r>
        <w:t>Dependency direction points from composition/presentation toward abstractions and domain; infrastructure implements inward-facing contracts.</w:t>
      </w:r>
    </w:p>
    <w:p>
      <w:pPr>
        <w:pStyle w:val="ListBullet"/>
        <w:spacing w:after="20"/>
      </w:pPr>
      <w:r>
        <w:t>Feature -&gt; Core is allowed according to the matrix in this document. Core -&gt; Feature is prohibited.</w:t>
      </w:r>
    </w:p>
    <w:p>
      <w:pPr>
        <w:pStyle w:val="ListBullet"/>
        <w:spacing w:after="20"/>
      </w:pPr>
      <w:r>
        <w:t>Feature -&gt; Feature implementation dependency is prohibited. Cross-feature coordination occurs through navigation contracts, domain/use-case contracts, shared models or the app composition root.</w:t>
      </w:r>
    </w:p>
    <w:p>
      <w:pPr>
        <w:pStyle w:val="ListBullet"/>
        <w:spacing w:after="20"/>
      </w:pPr>
      <w:r>
        <w:rPr>
          <w:rFonts w:ascii="Consolas" w:hAnsi="Consolas"/>
          <w:sz w:val="16"/>
        </w:rPr>
        <w:t>:app</w:t>
      </w:r>
      <w:r>
        <w:t xml:space="preserve"> may depend on features and core modules to assemble the runtime graph, but must not become a business-logic dumping ground.</w:t>
      </w:r>
    </w:p>
    <w:p>
      <w:pPr>
        <w:pStyle w:val="ListBullet"/>
        <w:spacing w:after="20"/>
      </w:pPr>
      <w:r>
        <w:t>Compose UI never calls DAOs or Retrofit services and never performs volumetric/business calculations.</w:t>
      </w:r>
    </w:p>
    <w:p>
      <w:pPr>
        <w:pStyle w:val="ListBullet"/>
        <w:spacing w:after="20"/>
      </w:pPr>
      <w:r>
        <w:t>ViewModels expose immutable UiState via StateFlow and dispatch intents/actions to use cases; they do not execute SQL or network logic.</w:t>
      </w:r>
    </w:p>
    <w:p>
      <w:pPr>
        <w:pStyle w:val="ListBullet"/>
        <w:spacing w:after="20"/>
      </w:pPr>
      <w:r>
        <w:t>Repository interfaces belong at the domain boundary; concrete offline-first implementations are wired by DI and use local/remote data sources.</w:t>
      </w:r>
    </w:p>
    <w:p>
      <w:pPr>
        <w:pStyle w:val="ListBullet"/>
        <w:spacing w:after="20"/>
      </w:pPr>
      <w:r>
        <w:t>Room is the canonical client read source for operational data where available; synchronized mutations are durable local writes plus SyncOperation/outbox in one transaction.</w:t>
      </w:r>
    </w:p>
    <w:p>
      <w:pPr>
        <w:pStyle w:val="ListBullet"/>
        <w:spacing w:after="20"/>
      </w:pPr>
      <w:r>
        <w:t>Protected remote operations are server-authorized; hiding UI controls is not an authorization boundary.</w:t>
      </w:r>
    </w:p>
    <w:p>
      <w:pPr>
        <w:pStyle w:val="ListBullet"/>
        <w:spacing w:after="20"/>
      </w:pPr>
      <w:r>
        <w:t>Completed inventory, snapshots, audit history and historically referenced master versions cannot be destructively rewritten by module-local convenience.</w:t>
      </w:r>
    </w:p>
    <w:p>
      <w:pPr>
        <w:pStyle w:val="ListBullet"/>
        <w:spacing w:after="20"/>
      </w:pPr>
      <w:r>
        <w:t>All official calculation behavior remains deterministic and independently testable outside Android.</w:t>
      </w:r>
    </w:p>
    <w:p>
      <w:pPr>
        <w:pStyle w:val="Heading1"/>
      </w:pPr>
      <w:r>
        <w:t>4. Module catalog and boundaries</w:t>
      </w:r>
    </w:p>
    <w:p>
      <w:pPr>
        <w:pStyle w:val="Heading2"/>
      </w:pPr>
      <w:r>
        <w:t>4.1 :app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Application composition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Application root, Hilt/application bootstrap, top-level shell composition, root Navigation Compose graph assembly, environment wiring.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All feature modules; core:navigation, core:designsystem, core:common and required runtime core implementations through DI composition.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Feature/domain business rules, SQL, Retrofit calls, calculation formulas.</w:t>
            </w:r>
          </w:p>
        </w:tc>
      </w:tr>
    </w:tbl>
    <w:p/>
    <w:p>
      <w:pPr>
        <w:pStyle w:val="Heading2"/>
      </w:pPr>
      <w:r>
        <w:t>4.2 :core:model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Shared contract models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Small stable cross-module value models/enums/identifiers that genuinely cross feature/domain boundaries; no behavior-heavy aggregates.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core:common only when unavoidable; prefer Kotlin stdlib.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Android UI, Room entities/DAOs, Retrofit DTOs, feature-specific UiState.</w:t>
            </w:r>
          </w:p>
        </w:tc>
      </w:tr>
    </w:tbl>
    <w:p/>
    <w:p>
      <w:pPr>
        <w:pStyle w:val="Heading2"/>
      </w:pPr>
      <w:r>
        <w:t>4.3 :core:common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Cross-cutting primitives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Result/error primitives, clock/dispatcher abstractions, safe utility primitives, shared constants only when truly cross-cutting.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Kotlin/JVM and minimal Android APIs only when the primitive is Android-specific.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use cases, feature navigation, DB/network implementations.</w:t>
            </w:r>
          </w:p>
        </w:tc>
      </w:tr>
    </w:tbl>
    <w:p/>
    <w:p>
      <w:pPr>
        <w:pStyle w:val="Heading2"/>
      </w:pPr>
      <w:r>
        <w:t>4.4 :core:domain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Domain contracts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Repository interfaces, cross-feature use cases/domain services, authorization/domain policies, canonical business invariants that are not calculation-engine formulas.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core:model, core:common, calculation-engine where a domain service must invoke it.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Compose, ViewModel, Room, Retrofit, Android lifecycle, concrete repositories.</w:t>
            </w:r>
          </w:p>
        </w:tc>
      </w:tr>
    </w:tbl>
    <w:p/>
    <w:p>
      <w:pPr>
        <w:pStyle w:val="Heading2"/>
      </w:pPr>
      <w:r>
        <w:t>4.5 :core:database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Local persistence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Room database, entities, DAOs, migrations, transactions, local data sources, local read models, outbox persistence.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core:model, core:common; Room/SQLite.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 UI, Retrofit, navigation, business calculations.</w:t>
            </w:r>
          </w:p>
        </w:tc>
      </w:tr>
    </w:tbl>
    <w:p/>
    <w:p>
      <w:pPr>
        <w:pStyle w:val="Heading2"/>
      </w:pPr>
      <w:r>
        <w:t>4.6 :core:network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Remote transport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Retrofit services, OkHttp configuration/interceptors, DTOs, API error decoding, auth transport support, evidence transfer clients.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core:model, core:common; Retrofit/OkHttp/serialization.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Compose, Room DAOs, feature ViewModels, business rules.</w:t>
            </w:r>
          </w:p>
        </w:tc>
      </w:tr>
    </w:tbl>
    <w:p/>
    <w:p>
      <w:pPr>
        <w:pStyle w:val="Heading2"/>
      </w:pPr>
      <w:r>
        <w:t>4.7 :core:sync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Offline synchronization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Sync coordinator, WorkManager workers, outbox processing, dependency/order enforcement, retry classification, conflict persistence/orchestration, offline package refresh/integrity orchestration.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core:domain, core:model, core:common, core:database, core:network.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 UI implementations; direct ownership of business state machines.</w:t>
            </w:r>
          </w:p>
        </w:tc>
      </w:tr>
    </w:tbl>
    <w:p/>
    <w:p>
      <w:pPr>
        <w:pStyle w:val="Heading2"/>
      </w:pPr>
      <w:r>
        <w:t>4.8 :core:designsystem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Reusable UI system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Material 3 theme, typography, spacing, adaptive primitives, reusable controls, status visuals, accessibility primitives.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core:model only for truly shared presentation-safe enums; Compose/Material.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Repositories, DB/network, business calculations, feature navigation destinations.</w:t>
            </w:r>
          </w:p>
        </w:tc>
      </w:tr>
    </w:tbl>
    <w:p/>
    <w:p>
      <w:pPr>
        <w:pStyle w:val="Heading2"/>
      </w:pPr>
      <w:r>
        <w:t>4.9 :core:navigation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Navigation contracts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Typed/stable destination contracts, route arguments based on stable IDs, navigation interfaces/helpers and shell destination metadata.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core:model, core:common.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 implementation internals, repositories, Room/Retrofit.</w:t>
            </w:r>
          </w:p>
        </w:tc>
      </w:tr>
    </w:tbl>
    <w:p/>
    <w:p>
      <w:pPr>
        <w:pStyle w:val="Heading2"/>
      </w:pPr>
      <w:r>
        <w:t>4.10 :core:testing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Shared test support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Fakes/builders/test clocks/dispatchers, fixtures and assertions shared across module tests.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 core contracts needed by tests; test-only dependencies.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Production runtime dependency from app/features.</w:t>
            </w:r>
          </w:p>
        </w:tc>
      </w:tr>
    </w:tbl>
    <w:p/>
    <w:p>
      <w:pPr>
        <w:pStyle w:val="Heading2"/>
      </w:pPr>
      <w:r>
        <w:t>4.11 :feature:auth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Authentication feature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AUT-01, AUT-02, AUT-SH-01; session UI/state, sign-in/reset flows and auth-specific orchestration.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core:domain, core:model, core:common, core:designsystem, core:navigation.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Concrete DB/network implementations; other feature internals.</w:t>
            </w:r>
          </w:p>
        </w:tc>
      </w:tr>
    </w:tbl>
    <w:p/>
    <w:p>
      <w:pPr>
        <w:pStyle w:val="Heading2"/>
      </w:pPr>
      <w:r>
        <w:t>4.12 :feature:dashboard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Dashboard feature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DSH-01; authorized operational summary/read models and navigation actions.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core:domain, core:model, core:common, core:designsystem, core:navigation.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Other feature implementations.</w:t>
            </w:r>
          </w:p>
        </w:tc>
      </w:tr>
    </w:tbl>
    <w:p/>
    <w:p>
      <w:pPr>
        <w:pStyle w:val="Heading2"/>
      </w:pPr>
      <w:r>
        <w:t>4.13 :feature:masterdata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Master-data feature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ORG/LOC/STU/STS/GEO/COM/CLI screens and sheets; organization context UI, customer-managed master-data workflows and read-only governed commodity/family views.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core:domain, core:model, core:common, core:designsystem, core:navigation, calculation-engine only through approved domain-facing contracts where capacity preview is required.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Direct Room/Retrofit; campaign/stocktaking feature internals.</w:t>
            </w:r>
          </w:p>
        </w:tc>
      </w:tr>
    </w:tbl>
    <w:p/>
    <w:p>
      <w:pPr>
        <w:pStyle w:val="Heading2"/>
      </w:pPr>
      <w:r>
        <w:t>4.14 :feature:campaigns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 feature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CAM-01/02/03; create &amp; launch, scope selector, team assignment, campaign detail/list.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core:domain, core:model, core:common, core:designsystem, core:navigation.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Stocktaking UI internals; concrete transport/storage.</w:t>
            </w:r>
          </w:p>
        </w:tc>
      </w:tr>
    </w:tbl>
    <w:p/>
    <w:p>
      <w:pPr>
        <w:pStyle w:val="Heading2"/>
      </w:pPr>
      <w:r>
        <w:t>4.15 :feature:stocktaking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Stocktaking feature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STK-01/02/03/05 and P0-SH-01 Report Issue; measurement, Mark Empty, Validate, Reset Validation authorization flow, issue/evidence interaction.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core:domain, core:model, core:common, core:designsystem, core:navigation, calculation-engine through domain orchestration.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Direct SQL/Retrofit; Close feature internals.</w:t>
            </w:r>
          </w:p>
        </w:tc>
      </w:tr>
    </w:tbl>
    <w:p/>
    <w:p>
      <w:pPr>
        <w:pStyle w:val="Heading2"/>
      </w:pPr>
      <w:r>
        <w:t>4.16 :feature:close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 Close feature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CLS-01/02; review, Close Guards presentation, online atomic Close orchestration and immutable snapshot presentation.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core:domain, core:model, core:common, core:designsystem, core:navigation.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Direct DB/network; report recalculation.</w:t>
            </w:r>
          </w:p>
        </w:tc>
      </w:tr>
    </w:tbl>
    <w:p/>
    <w:p>
      <w:pPr>
        <w:pStyle w:val="Heading2"/>
      </w:pPr>
      <w:r>
        <w:t>4.17 :feature:reports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Reporting feature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RPT-01/02, HIS-01, DOS-01; nine canonical report types except Audit Trail UI ownership below, snapshot-based datasets and PDF/CSV export initiation.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core:domain, core:model, core:common, core:designsystem, core:navigation.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Recalculation of completed history; direct storage/network.</w:t>
            </w:r>
          </w:p>
        </w:tc>
      </w:tr>
    </w:tbl>
    <w:p/>
    <w:p>
      <w:pPr>
        <w:pStyle w:val="Heading2"/>
      </w:pPr>
      <w:r>
        <w:t>4.18 :feature:administration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Administration/platform feature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USR-01/02, MOR-01, NOT-01, SYN-01, SET-01, SUP-01, AUD-01; users, settings, notifications, sync status, support and Admin-only Audit Trail.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core:domain, core:model, core:common, core:designsystem, core:navigation, core:sync through exposed status/action contracts.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data persistence internals; direct feature-to-feature implementation coupling.</w:t>
            </w:r>
          </w:p>
        </w:tc>
      </w:tr>
    </w:tbl>
    <w:p/>
    <w:p>
      <w:pPr>
        <w:pStyle w:val="Heading2"/>
      </w:pPr>
      <w:r>
        <w:t>4.19 :calculation-engine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Aspect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Pure Kotlin calculation engine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Owns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Deterministic Measurement normalization/aggregation, EffectiveFillHeight, 10 geometry-family volume functions, quantity calculation, validation/fingerprint/version metadata.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May 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Kotlin stdlib; its own pure contracts. It may consume primitive/value types that remain JVM-pure; no Android dependency.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Must not own/depend 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Compose, Android UI, ViewModel, Room, Retrofit, WorkManager, Hilt Android types.</w:t>
            </w:r>
          </w:p>
        </w:tc>
      </w:tr>
    </w:tbl>
    <w:p/>
    <w:p>
      <w:pPr>
        <w:pStyle w:val="Heading1"/>
      </w:pPr>
      <w:r>
        <w:t>5. Allowed dependency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4"/>
              </w:rPr>
              <w:t>From</w:t>
            </w:r>
          </w:p>
        </w:tc>
        <w:tc>
          <w:tcPr>
            <w:tcW w:type="dxa" w:w="3456"/>
          </w:tcPr>
          <w:p>
            <w:r>
              <w:rPr>
                <w:b/>
                <w:sz w:val="14"/>
              </w:rPr>
              <w:t>Allowed production dependencies</w:t>
            </w:r>
          </w:p>
        </w:tc>
        <w:tc>
          <w:tcPr>
            <w:tcW w:type="dxa" w:w="3456"/>
          </w:tcPr>
          <w:p>
            <w:r>
              <w:rPr>
                <w:b/>
                <w:sz w:val="14"/>
              </w:rPr>
              <w:t>Explicitly prohibited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:app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all feature modules; core composition modules; runtime infrastructure modules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rules/formulas; direct SQL/HTTP orchestration in UI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feature:*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core:domain, core:model, core:common, core:designsystem, core:navigation; calculation-engine only where contractually needed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feature:* implementation modules; concrete Room/Retrofit APIs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core:model, core:common; calculation-engine when domain orchestration requires it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Android UI, Room, Retrofit, feature:*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core:sync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core:domain, core:model, core:common, core:database, core:network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feature:* implementation modules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core:database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core:model, core:common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core:network, feature:*, Compose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core:network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core:model, core:common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core:database, feature:*, Compose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core:designsystem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presentation-safe shared models only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domain repositories/use cases, database/network/sync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core:navigation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core:model/core:common as needed for stable IDs/contracts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 implementation classes, data sources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core:testing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test-only access to contracts under test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production runtime dependency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:calculation-engine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pure Kotlin/JVM contracts only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Android/Compose/Hilt/Room/Retrofit/WorkManager/ViewModel</w:t>
            </w:r>
          </w:p>
        </w:tc>
      </w:tr>
    </w:tbl>
    <w:p/>
    <w:p>
      <w:pPr>
        <w:pStyle w:val="Heading1"/>
      </w:pPr>
      <w:r>
        <w:t>6. Dependency rules by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</w:tcPr>
          <w:p>
            <w:r>
              <w:rPr>
                <w:b/>
                <w:sz w:val="14"/>
              </w:rPr>
              <w:t>Layer</w:t>
            </w:r>
          </w:p>
        </w:tc>
        <w:tc>
          <w:tcPr>
            <w:tcW w:type="dxa" w:w="2592"/>
          </w:tcPr>
          <w:p>
            <w:r>
              <w:rPr>
                <w:b/>
                <w:sz w:val="14"/>
              </w:rPr>
              <w:t>Owned artifacts</w:t>
            </w:r>
          </w:p>
        </w:tc>
        <w:tc>
          <w:tcPr>
            <w:tcW w:type="dxa" w:w="2592"/>
          </w:tcPr>
          <w:p>
            <w:r>
              <w:rPr>
                <w:b/>
                <w:sz w:val="14"/>
              </w:rPr>
              <w:t>Allowed calls</w:t>
            </w:r>
          </w:p>
        </w:tc>
        <w:tc>
          <w:tcPr>
            <w:tcW w:type="dxa" w:w="2592"/>
          </w:tcPr>
          <w:p>
            <w:r>
              <w:rPr>
                <w:b/>
                <w:sz w:val="14"/>
              </w:rPr>
              <w:t>Forbidden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Presentation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Compose screens, UiState, ViewModels, presentation mappers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Use cases/domain-facing interfaces, navigation contracts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DAO, SQL, Retrofit, calculation formulas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Domain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Entities/value objects, policies, repository interfaces, use cases/domain services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Pure domain/calculation contracts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Android framework, concrete persistence/transport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Data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Repository implementations, local/remote data sources, mapping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Room/Retrofit and domain interfaces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Compose/navigation decisions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Sync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Outbox processing, workers, conflict/retry orchestration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Data infrastructure + domain guards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Silent merge/force overwrite/business state invention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Calculation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Pure deterministic numeric logic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Pure inputs/outputs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4"/>
              </w:rPr>
              <w:t>Android/data-source/presentation dependencies</w:t>
            </w:r>
          </w:p>
        </w:tc>
      </w:tr>
    </w:tbl>
    <w:p/>
    <w:p>
      <w:pPr>
        <w:pStyle w:val="Heading1"/>
      </w:pPr>
      <w:r>
        <w:t>7. Feature ownership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Feature module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Owned V6 UI components / workflows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:feature:auth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AUT-01, AUT-02, AUT-SH-01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:feature:dashboard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DSH-01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:feature:masterdata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ORG-01, ORG-02, LOC-01, LOC-02, STU-02, STS-02, GEO-01, GEO-02, COM-01, COM-02, CLI-01, CLI-02, P1-SH-01/02/03, GEO-SH-01, CLI-SH-01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:feature:campaigns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CAM-01, CAM-02, CAM-03 including contextual Scope Selector and Team Assignment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:feature:stocktaking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STK-01, STK-02, STK-03, STK-05, P0-SH-01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:feature:close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CLS-01, CLS-02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:feature:reports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RPT-01, RPT-02, HIS-01, DOS-01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:feature:administration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USR-01, USR-02, MOR-01, NOT-01, SYN-01, SET-01, SUP-01, AUD-01</w:t>
            </w:r>
          </w:p>
        </w:tc>
      </w:tr>
    </w:tbl>
    <w:p/>
    <w:p>
      <w:pPr>
        <w:spacing w:after="60"/>
      </w:pPr>
      <w:r>
        <w:t>This ownership map covers all 36 screens and 7 sheets frozen in Document 06. Ownership is implementation responsibility, not permission: authorization remains defined by Document 04 and server/domain guards.</w:t>
      </w:r>
    </w:p>
    <w:p>
      <w:pPr>
        <w:pStyle w:val="Heading1"/>
      </w:pPr>
      <w:r>
        <w:t>8. Domain ownership and cross-feature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4"/>
              </w:rPr>
              <w:t>Domain area</w:t>
            </w:r>
          </w:p>
        </w:tc>
        <w:tc>
          <w:tcPr>
            <w:tcW w:type="dxa" w:w="3456"/>
          </w:tcPr>
          <w:p>
            <w:r>
              <w:rPr>
                <w:b/>
                <w:sz w:val="14"/>
              </w:rPr>
              <w:t>Primary contract ownership</w:t>
            </w:r>
          </w:p>
        </w:tc>
        <w:tc>
          <w:tcPr>
            <w:tcW w:type="dxa" w:w="3456"/>
          </w:tcPr>
          <w:p>
            <w:r>
              <w:rPr>
                <w:b/>
                <w:sz w:val="14"/>
              </w:rPr>
              <w:t>Feature consumers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Identity/session/membership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auth, masterdata, campaigns, stocktaking, close, reports, administration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Organization/master hierarchy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masterdata, campaigns, stocktaking, reports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Campaign/scope/team/snapshot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campaigns, stocktaking, close, reports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Stocktaking/measurement/validation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stocktaking, close, reports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Issue/resolution/evidence metadata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stocktaking, close, reports, administration/audit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Final Inventory Snapshot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close, reports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Sync/conflict semantics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 contracts + core:sync orchestration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all mutating features; administration status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Calculation contracts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calculation-engine + core:domain orchestration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masterdata capacity, stocktaking, close validation/tests</w:t>
            </w:r>
          </w:p>
        </w:tc>
      </w:tr>
    </w:tbl>
    <w:p/>
    <w:p>
      <w:pPr>
        <w:spacing w:after="60"/>
      </w:pPr>
      <w:r>
        <w:t>A feature may define presentation-only models locally. A model becomes shared only when two or more modules need the same stable semantic contract. Shared placement is not justified merely to avoid a small duplicate UI mapper.</w:t>
      </w:r>
    </w:p>
    <w:p>
      <w:pPr>
        <w:pStyle w:val="Heading1"/>
      </w:pPr>
      <w:r>
        <w:t>9. Model separation rules</w:t>
      </w:r>
    </w:p>
    <w:p>
      <w:pPr>
        <w:pStyle w:val="ListBullet"/>
        <w:spacing w:after="20"/>
      </w:pPr>
      <w:r>
        <w:rPr>
          <w:rFonts w:ascii="Consolas" w:hAnsi="Consolas"/>
          <w:sz w:val="16"/>
        </w:rPr>
        <w:t>core:model</w:t>
      </w:r>
      <w:r>
        <w:t xml:space="preserve"> must not become a universal bucket. Persisted Room entities remain in </w:t>
      </w:r>
      <w:r>
        <w:rPr>
          <w:rFonts w:ascii="Consolas" w:hAnsi="Consolas"/>
          <w:sz w:val="16"/>
        </w:rPr>
        <w:t>core:database</w:t>
      </w:r>
      <w:r>
        <w:t xml:space="preserve">; Retrofit request/response DTOs remain in </w:t>
      </w:r>
      <w:r>
        <w:rPr>
          <w:rFonts w:ascii="Consolas" w:hAnsi="Consolas"/>
          <w:sz w:val="16"/>
        </w:rPr>
        <w:t>core:network</w:t>
      </w:r>
      <w:r>
        <w:t>; UiState and UI-only enums remain in the owning feature.</w:t>
      </w:r>
    </w:p>
    <w:p>
      <w:pPr>
        <w:pStyle w:val="ListBullet"/>
        <w:spacing w:after="20"/>
      </w:pPr>
      <w:r>
        <w:t xml:space="preserve">Domain entities/value objects live in </w:t>
      </w:r>
      <w:r>
        <w:rPr>
          <w:rFonts w:ascii="Consolas" w:hAnsi="Consolas"/>
          <w:sz w:val="16"/>
        </w:rPr>
        <w:t>core:domain</w:t>
      </w:r>
      <w:r>
        <w:t xml:space="preserve"> unless they are calculation-engine-native pure types.</w:t>
      </w:r>
    </w:p>
    <w:p>
      <w:pPr>
        <w:pStyle w:val="ListBullet"/>
        <w:spacing w:after="20"/>
      </w:pPr>
      <w:r>
        <w:t>Mapping is explicit: DB entity &lt;-&gt; domain model &lt;-&gt; network DTO as required. No Room annotations or serialization annotations leak into domain models.</w:t>
      </w:r>
    </w:p>
    <w:p>
      <w:pPr>
        <w:pStyle w:val="ListBullet"/>
        <w:spacing w:after="20"/>
      </w:pPr>
      <w:r>
        <w:t>Stable IDs are UUID-based technical identifiers. Business codes are separate values; Campaign Code is server-generated/read-only.</w:t>
      </w:r>
    </w:p>
    <w:p>
      <w:pPr>
        <w:pStyle w:val="ListBullet"/>
        <w:spacing w:after="20"/>
      </w:pPr>
      <w:r>
        <w:t>Money-like or physical decimal values use the approved deterministic decimal policy; floating-point convenience must not change persisted or official results.</w:t>
      </w:r>
    </w:p>
    <w:p>
      <w:pPr>
        <w:pStyle w:val="Heading1"/>
      </w:pPr>
      <w:r>
        <w:t>10. Repository architecture</w:t>
      </w:r>
    </w:p>
    <w:p>
      <w:pPr>
        <w:spacing w:after="60"/>
      </w:pPr>
      <w:r>
        <w:t>Repository interfaces are inward-facing domain contracts. Concrete implementations combine local and remote data sources according to the offline-first policy. Reads normally observe Room. Writes that are offline-capable commit business state and an outbox operation atomically before reporting success. Online-only operations such as Campaign Close call the authoritative server workflow and then reconcile the local source of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Repository concern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Required behavior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Master data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Organization-scoped reads; version-aware refresh; historical references preserved.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Server-generated official Campaign Code at Save &amp; Launch; frozen scope/team snapshot semantics.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Stocktaking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Local-first durable mutations; 1–5 measurements for non-empty; audited validation/reset rules.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Issues/Evidence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Offline creation where allowed; controlled binary transfer; metadata/hash durable.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Close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Online atomic server operation; no partial Final Snapshot.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Reports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Completed official outputs from Final Inventory Snapshot; no current-master recalculation.</w:t>
            </w:r>
          </w:p>
        </w:tc>
      </w:tr>
    </w:tbl>
    <w:p/>
    <w:p>
      <w:pPr>
        <w:pStyle w:val="Heading1"/>
      </w:pPr>
      <w:r>
        <w:t>11. Dependency injection contract</w:t>
      </w:r>
    </w:p>
    <w:p>
      <w:pPr>
        <w:pStyle w:val="ListBullet"/>
        <w:spacing w:after="20"/>
      </w:pPr>
      <w:r>
        <w:t xml:space="preserve">Hilt is the approved DI framework. </w:t>
      </w:r>
      <w:r>
        <w:rPr>
          <w:rFonts w:ascii="Consolas" w:hAnsi="Consolas"/>
          <w:sz w:val="16"/>
        </w:rPr>
        <w:t>:app</w:t>
      </w:r>
      <w:r>
        <w:t xml:space="preserve"> owns application-level composition and installs/aggregates bindings needed to construct the runtime graph.</w:t>
      </w:r>
    </w:p>
    <w:p>
      <w:pPr>
        <w:pStyle w:val="ListBullet"/>
        <w:spacing w:after="20"/>
      </w:pPr>
      <w:r>
        <w:t>Each infrastructure module exposes narrowly scoped bindings for its implementations; feature modules request interfaces/use cases rather than concrete DAOs or Retrofit services.</w:t>
      </w:r>
    </w:p>
    <w:p>
      <w:pPr>
        <w:pStyle w:val="ListBullet"/>
        <w:spacing w:after="20"/>
      </w:pPr>
      <w:r>
        <w:t>ViewModels use constructor injection. Service locator patterns and global mutable singletons are prohibited.</w:t>
      </w:r>
    </w:p>
    <w:p>
      <w:pPr>
        <w:pStyle w:val="ListBullet"/>
        <w:spacing w:after="20"/>
      </w:pPr>
      <w:r>
        <w:t>Qualifiers must be used for environment-specific endpoints, dispatchers, clocks or multiple implementations rather than ad-hoc branching.</w:t>
      </w:r>
    </w:p>
    <w:p>
      <w:pPr>
        <w:pStyle w:val="ListBullet"/>
        <w:spacing w:after="20"/>
      </w:pPr>
      <w:r>
        <w:t>Test graphs replace interfaces with fakes/in-memory implementations without requiring production network/database access.</w:t>
      </w:r>
    </w:p>
    <w:p>
      <w:pPr>
        <w:pStyle w:val="ListBullet"/>
        <w:spacing w:after="20"/>
      </w:pPr>
      <w:r>
        <w:t>Calculation Engine functions/classes should prefer explicit pure construction and should not require Hilt.</w:t>
      </w:r>
    </w:p>
    <w:p>
      <w:pPr>
        <w:pStyle w:val="Heading1"/>
      </w:pPr>
      <w:r>
        <w:t>12. Navigation modularization</w:t>
      </w:r>
    </w:p>
    <w:p>
      <w:pPr>
        <w:pStyle w:val="ListBullet"/>
        <w:spacing w:after="20"/>
      </w:pPr>
      <w:r>
        <w:rPr>
          <w:rFonts w:ascii="Consolas" w:hAnsi="Consolas"/>
          <w:sz w:val="16"/>
        </w:rPr>
        <w:t>core:navigation</w:t>
      </w:r>
      <w:r>
        <w:t xml:space="preserve"> owns stable destination contracts and argument types; routes use stable IDs, never serialized business objects.</w:t>
      </w:r>
    </w:p>
    <w:p>
      <w:pPr>
        <w:pStyle w:val="ListBullet"/>
        <w:spacing w:after="20"/>
      </w:pPr>
      <w:r>
        <w:rPr>
          <w:rFonts w:ascii="Consolas" w:hAnsi="Consolas"/>
          <w:sz w:val="16"/>
        </w:rPr>
        <w:t>app</w:t>
      </w:r>
      <w:r>
        <w:t xml:space="preserve"> assembles the root graph and persistent operational shell: Dashboard / Inventory Campaigns / Stocktaking / Locations / More.</w:t>
      </w:r>
    </w:p>
    <w:p>
      <w:pPr>
        <w:pStyle w:val="ListBullet"/>
        <w:spacing w:after="20"/>
      </w:pPr>
      <w:r>
        <w:t>Feature modules expose navigation entry contracts/builders without importing other feature implementation classes.</w:t>
      </w:r>
    </w:p>
    <w:p>
      <w:pPr>
        <w:pStyle w:val="ListBullet"/>
        <w:spacing w:after="20"/>
      </w:pPr>
      <w:r>
        <w:t>Deep links must pass authentication and authorization before destination content is exposed.</w:t>
      </w:r>
    </w:p>
    <w:p>
      <w:pPr>
        <w:pStyle w:val="ListBullet"/>
        <w:spacing w:after="20"/>
      </w:pPr>
      <w:r>
        <w:t>STK-05 -&gt; STK-03 back navigation must restore Storage Unit context and relevant list/scroll state.</w:t>
      </w:r>
    </w:p>
    <w:p>
      <w:pPr>
        <w:pStyle w:val="ListBullet"/>
        <w:spacing w:after="20"/>
      </w:pPr>
      <w:r>
        <w:t>Authentication remains outside the operational shell.</w:t>
      </w:r>
    </w:p>
    <w:p>
      <w:pPr>
        <w:pStyle w:val="Heading1"/>
      </w:pPr>
      <w:r>
        <w:t>13. Offline-first module interaction</w:t>
      </w:r>
    </w:p>
    <w:p>
      <w:pPr>
        <w:spacing w:after="60"/>
      </w:pPr>
      <w:r>
        <w:t xml:space="preserve">The canonical mutation path is: Feature ViewModel -&gt; Use Case -&gt; Repository -&gt; Room transaction (business mutation + SyncOperation) -&gt; UiState success -&gt; </w:t>
      </w:r>
      <w:r>
        <w:rPr>
          <w:rFonts w:ascii="Consolas" w:hAnsi="Consolas"/>
          <w:sz w:val="16"/>
        </w:rPr>
        <w:t>core:sync</w:t>
      </w:r>
      <w:r>
        <w:t xml:space="preserve"> schedules/replays -&gt; </w:t>
      </w:r>
      <w:r>
        <w:rPr>
          <w:rFonts w:ascii="Consolas" w:hAnsi="Consolas"/>
          <w:sz w:val="16"/>
        </w:rPr>
        <w:t>core:network</w:t>
      </w:r>
      <w:r>
        <w:t xml:space="preserve"> -&gt; server authorization/idempotency/version validation -&gt; acknowledgement/pull -&gt; Room reconciliation.</w:t>
      </w:r>
    </w:p>
    <w:p>
      <w:pPr>
        <w:pStyle w:val="ListBullet"/>
        <w:spacing w:after="20"/>
      </w:pPr>
      <w:r>
        <w:rPr>
          <w:rFonts w:ascii="Consolas" w:hAnsi="Consolas"/>
          <w:sz w:val="16"/>
        </w:rPr>
        <w:t>core:sync</w:t>
      </w:r>
      <w:r>
        <w:t xml:space="preserve"> owns scheduling mechanics, not domain truth.</w:t>
      </w:r>
    </w:p>
    <w:p>
      <w:pPr>
        <w:pStyle w:val="ListBullet"/>
        <w:spacing w:after="20"/>
      </w:pPr>
      <w:r>
        <w:t>Same-entity operations preserve FIFO/dependency ordering; independent streams may run concurrently where safe.</w:t>
      </w:r>
    </w:p>
    <w:p>
      <w:pPr>
        <w:pStyle w:val="ListBullet"/>
        <w:spacing w:after="20"/>
      </w:pPr>
      <w:r>
        <w:t>Retries reuse the same idempotency key. Exponential backoff applies to retryable failures.</w:t>
      </w:r>
    </w:p>
    <w:p>
      <w:pPr>
        <w:pStyle w:val="ListBullet"/>
        <w:spacing w:after="20"/>
      </w:pPr>
      <w:r>
        <w:t>Conflicts are durable and never silently overwritten/auto-merged for critical inventory data.</w:t>
      </w:r>
    </w:p>
    <w:p>
      <w:pPr>
        <w:pStyle w:val="ListBullet"/>
        <w:spacing w:after="20"/>
      </w:pPr>
      <w:r>
        <w:t>Campaign offline working sets are campaign-scoped and integrity-verifiable; no whole-organization replication is required.</w:t>
      </w:r>
    </w:p>
    <w:p>
      <w:pPr>
        <w:pStyle w:val="ListBullet"/>
        <w:spacing w:after="20"/>
      </w:pPr>
      <w:r>
        <w:t>Unsynced measurements/evidence are never discarded merely because the process/app restarts or connectivity fails.</w:t>
      </w:r>
    </w:p>
    <w:p>
      <w:pPr>
        <w:pStyle w:val="Heading1"/>
      </w:pPr>
      <w:r>
        <w:t>14. Database boundary</w:t>
      </w:r>
    </w:p>
    <w:p>
      <w:pPr>
        <w:pStyle w:val="ListBullet"/>
        <w:spacing w:after="20"/>
      </w:pPr>
      <w:r>
        <w:rPr>
          <w:rFonts w:ascii="Consolas" w:hAnsi="Consolas"/>
          <w:sz w:val="16"/>
        </w:rPr>
        <w:t>core:database</w:t>
      </w:r>
      <w:r>
        <w:t xml:space="preserve"> owns the RoomDatabase, entities, DAOs, migrations, converters and transaction boundaries.</w:t>
      </w:r>
    </w:p>
    <w:p>
      <w:pPr>
        <w:pStyle w:val="ListBullet"/>
        <w:spacing w:after="20"/>
      </w:pPr>
      <w:r>
        <w:t>Feature modules do not import DAO/entity packages.</w:t>
      </w:r>
    </w:p>
    <w:p>
      <w:pPr>
        <w:pStyle w:val="ListBullet"/>
        <w:spacing w:after="20"/>
      </w:pPr>
      <w:r>
        <w:t>Database migrations are forward-safe and tested; destructive fallback is prohibited for production business data.</w:t>
      </w:r>
    </w:p>
    <w:p>
      <w:pPr>
        <w:pStyle w:val="ListBullet"/>
        <w:spacing w:after="20"/>
      </w:pPr>
      <w:r>
        <w:t>No destructive cascade may remove operational/history records from master-data changes.</w:t>
      </w:r>
    </w:p>
    <w:p>
      <w:pPr>
        <w:pStyle w:val="ListBullet"/>
        <w:spacing w:after="20"/>
      </w:pPr>
      <w:r>
        <w:t>Mutable synchronized entities carry approved version and mutation metadata; immutable snapshots/audit use immutable creation metadata.</w:t>
      </w:r>
    </w:p>
    <w:p>
      <w:pPr>
        <w:pStyle w:val="ListBullet"/>
        <w:spacing w:after="20"/>
      </w:pPr>
      <w:r>
        <w:t>Exact tables/columns/keys/indexes belong to Document 10, not this document.</w:t>
      </w:r>
    </w:p>
    <w:p>
      <w:pPr>
        <w:pStyle w:val="Heading1"/>
      </w:pPr>
      <w:r>
        <w:t>15. Network boundary</w:t>
      </w:r>
    </w:p>
    <w:p>
      <w:pPr>
        <w:pStyle w:val="ListBullet"/>
        <w:spacing w:after="20"/>
      </w:pPr>
      <w:r>
        <w:rPr>
          <w:rFonts w:ascii="Consolas" w:hAnsi="Consolas"/>
          <w:sz w:val="16"/>
        </w:rPr>
        <w:t>core:network</w:t>
      </w:r>
      <w:r>
        <w:t xml:space="preserve"> owns Retrofit/OkHttp transport, serialization, interceptors, API DTOs and machine-readable error decoding.</w:t>
      </w:r>
    </w:p>
    <w:p>
      <w:pPr>
        <w:pStyle w:val="ListBullet"/>
        <w:spacing w:after="20"/>
      </w:pPr>
      <w:r>
        <w:t>Base URLs are environment/build configuration, never editable user settings; Production cannot be switched to Development/Staging by a user.</w:t>
      </w:r>
    </w:p>
    <w:p>
      <w:pPr>
        <w:pStyle w:val="ListBullet"/>
        <w:spacing w:after="20"/>
      </w:pPr>
      <w:r>
        <w:t>Protected operations are authorized server-side. Client role/UI state is advisory only.</w:t>
      </w:r>
    </w:p>
    <w:p>
      <w:pPr>
        <w:pStyle w:val="ListBullet"/>
        <w:spacing w:after="20"/>
      </w:pPr>
      <w:r>
        <w:t>Synchronized mutations carry idempotency key and base/entity version.</w:t>
      </w:r>
    </w:p>
    <w:p>
      <w:pPr>
        <w:pStyle w:val="ListBullet"/>
        <w:spacing w:after="20"/>
      </w:pPr>
      <w:r>
        <w:t>API errors expose stable code, message, field errors, correlationId and retryable classification as defined by the frozen V6 contract.</w:t>
      </w:r>
    </w:p>
    <w:p>
      <w:pPr>
        <w:pStyle w:val="ListBullet"/>
        <w:spacing w:after="20"/>
      </w:pPr>
      <w:r>
        <w:t>Evidence binaries use controlled transfer and hash verification, not ordinary business JSON payloads.</w:t>
      </w:r>
    </w:p>
    <w:p>
      <w:pPr>
        <w:pStyle w:val="Heading1"/>
      </w:pPr>
      <w:r>
        <w:t>16. Calculation Engine module</w:t>
      </w:r>
    </w:p>
    <w:p>
      <w:pPr>
        <w:spacing w:after="60"/>
      </w:pPr>
      <w:r>
        <w:rPr>
          <w:rFonts w:ascii="Consolas" w:hAnsi="Consolas"/>
          <w:sz w:val="16"/>
        </w:rPr>
        <w:t>:calculation-engine</w:t>
      </w:r>
      <w:r>
        <w:t xml:space="preserve"> is the strongest isolation boundary. It implements Calculation Engine v2.0: normalization -&gt; MEAN_ULLAGE_V1 aggregation -&gt; effective fill height -&gt; family volume -&gt; quantity. It supports the ten frozen geometry families F01–F10, deterministic decimal arithmetic, canonical units, validation/fingerprint/version metadata and no intermediate rounding.</w:t>
      </w:r>
    </w:p>
    <w:p>
      <w:pPr>
        <w:pStyle w:val="ListBullet"/>
        <w:spacing w:after="20"/>
      </w:pPr>
      <w:r>
        <w:t>No Android SDK, Compose, ViewModel, Hilt Android integration, Room, Retrofit, WorkManager or navigation dependency.</w:t>
      </w:r>
    </w:p>
    <w:p>
      <w:pPr>
        <w:pStyle w:val="ListBullet"/>
        <w:spacing w:after="20"/>
      </w:pPr>
      <w:r>
        <w:t>Unit tests execute on the JVM without emulator/device.</w:t>
      </w:r>
    </w:p>
    <w:p>
      <w:pPr>
        <w:pStyle w:val="ListBullet"/>
        <w:spacing w:after="20"/>
      </w:pPr>
      <w:r>
        <w:t>Geometry Family is mathematical model; Geometry Profile is concrete versioned dimensions/context outside the formula implementation.</w:t>
      </w:r>
    </w:p>
    <w:p>
      <w:pPr>
        <w:pStyle w:val="ListBullet"/>
        <w:spacing w:after="20"/>
      </w:pPr>
      <w:r>
        <w:t>F08–F10 consume verified area/provenance contract; the engine must not invent area.</w:t>
      </w:r>
    </w:p>
    <w:p>
      <w:pPr>
        <w:pStyle w:val="ListBullet"/>
        <w:spacing w:after="20"/>
      </w:pPr>
      <w:r>
        <w:t>Mark Empty bypasses measurement/density calculation and produces explicit zero-result semantics through domain orchestration.</w:t>
      </w:r>
    </w:p>
    <w:p>
      <w:pPr>
        <w:pStyle w:val="ListBullet"/>
        <w:spacing w:after="20"/>
      </w:pPr>
      <w:r>
        <w:t>Historical snapshots retain calculation/version metadata and are never recalculated using current profiles.</w:t>
      </w:r>
    </w:p>
    <w:p>
      <w:pPr>
        <w:pStyle w:val="Heading1"/>
      </w:pPr>
      <w:r>
        <w:t>17. Security and authorization boundaries</w:t>
      </w:r>
    </w:p>
    <w:p>
      <w:pPr>
        <w:pStyle w:val="ListBullet"/>
        <w:spacing w:after="20"/>
      </w:pPr>
      <w:r>
        <w:t>Authorization policies are domain/server concerns; UI modules may hide/disable actions but cannot grant privilege.</w:t>
      </w:r>
    </w:p>
    <w:p>
      <w:pPr>
        <w:pStyle w:val="ListBullet"/>
        <w:spacing w:after="20"/>
      </w:pPr>
      <w:r>
        <w:t>Organization isolation applies to repositories, offline package selection, API requests and local queries.</w:t>
      </w:r>
    </w:p>
    <w:p>
      <w:pPr>
        <w:pStyle w:val="ListBullet"/>
        <w:spacing w:after="20"/>
      </w:pPr>
      <w:r>
        <w:t>Admin does not automatically have Stocktaking mutation rights; Campaign Team membership remains required.</w:t>
      </w:r>
    </w:p>
    <w:p>
      <w:pPr>
        <w:pStyle w:val="ListBullet"/>
        <w:spacing w:after="20"/>
      </w:pPr>
      <w:r>
        <w:t>Close is Admin-only and online. Audit Trail is Admin-only.</w:t>
      </w:r>
    </w:p>
    <w:p>
      <w:pPr>
        <w:pStyle w:val="ListBullet"/>
        <w:spacing w:after="20"/>
      </w:pPr>
      <w:r>
        <w:t>Tenant creation is platform/onboarding provisioning; ordinary organization Admin does not arbitrarily create a new tenant.</w:t>
      </w:r>
    </w:p>
    <w:p>
      <w:pPr>
        <w:pStyle w:val="ListBullet"/>
        <w:spacing w:after="20"/>
      </w:pPr>
      <w:r>
        <w:t>Tokens/secrets are not stored in source, logs or ordinary Room business tables. Session credentials use approved secure Android storage.</w:t>
      </w:r>
    </w:p>
    <w:p>
      <w:pPr>
        <w:pStyle w:val="Heading1"/>
      </w:pPr>
      <w:r>
        <w:t>18. Evidence and file ownership</w:t>
      </w:r>
    </w:p>
    <w:p>
      <w:pPr>
        <w:pStyle w:val="ListBullet"/>
        <w:spacing w:after="20"/>
      </w:pPr>
      <w:r>
        <w:t>Feature Stocktaking owns capture interaction; domain owns evidence rules; database owns metadata/local references; network owns controlled transfer; sync owns durable upload orchestration.</w:t>
      </w:r>
    </w:p>
    <w:p>
      <w:pPr>
        <w:pStyle w:val="ListBullet"/>
        <w:spacing w:after="20"/>
      </w:pPr>
      <w:r>
        <w:t>Photo binary storage is app-private locally and object storage remotely; DB stores metadata/hash/object references.</w:t>
      </w:r>
    </w:p>
    <w:p>
      <w:pPr>
        <w:pStyle w:val="ListBullet"/>
        <w:spacing w:after="20"/>
      </w:pPr>
      <w:r>
        <w:t>JPEG normalization, EXIF orientation, 2048px long edge, target &lt;=1.5MB, hard max 3MB and SHA-256 follow the frozen Evidence contract.</w:t>
      </w:r>
    </w:p>
    <w:p>
      <w:pPr>
        <w:pStyle w:val="ListBullet"/>
        <w:spacing w:after="20"/>
      </w:pPr>
      <w:r>
        <w:t>Unnecessary EXIF is stripped; GPS/device identifiers are not automatically collected.</w:t>
      </w:r>
    </w:p>
    <w:p>
      <w:pPr>
        <w:pStyle w:val="ListBullet"/>
        <w:spacing w:after="20"/>
      </w:pPr>
      <w:r>
        <w:t>Validated evidence is read-only; historical evidence references remain stable.</w:t>
      </w:r>
    </w:p>
    <w:p>
      <w:pPr>
        <w:pStyle w:val="Heading1"/>
      </w:pPr>
      <w:r>
        <w:t>19. Reporting boundary</w:t>
      </w:r>
    </w:p>
    <w:p>
      <w:pPr>
        <w:pStyle w:val="ListBullet"/>
        <w:spacing w:after="20"/>
      </w:pPr>
      <w:r>
        <w:rPr>
          <w:rFonts w:ascii="Consolas" w:hAnsi="Consolas"/>
          <w:sz w:val="16"/>
        </w:rPr>
        <w:t>feature:reports</w:t>
      </w:r>
      <w:r>
        <w:t xml:space="preserve"> renders/exports the Single Authoritative Report Dataset supplied through domain/repository contracts.</w:t>
      </w:r>
    </w:p>
    <w:p>
      <w:pPr>
        <w:pStyle w:val="ListBullet"/>
        <w:spacing w:after="20"/>
      </w:pPr>
      <w:r>
        <w:t>Completed official reports read immutable Final Inventory Snapshot data.</w:t>
      </w:r>
    </w:p>
    <w:p>
      <w:pPr>
        <w:pStyle w:val="ListBullet"/>
        <w:spacing w:after="20"/>
      </w:pPr>
      <w:r>
        <w:t>UI and PDF/CSV export use the same authoritative dataset semantics.</w:t>
      </w:r>
    </w:p>
    <w:p>
      <w:pPr>
        <w:pStyle w:val="ListBullet"/>
        <w:spacing w:after="20"/>
      </w:pPr>
      <w:r>
        <w:t>Inventory History compares 2..N Completed Campaigns with frozen comparability classifications; no forecasting.</w:t>
      </w:r>
    </w:p>
    <w:p>
      <w:pPr>
        <w:pStyle w:val="ListBullet"/>
        <w:spacing w:after="20"/>
      </w:pPr>
      <w:r>
        <w:rPr>
          <w:rFonts w:ascii="Consolas" w:hAnsi="Consolas"/>
          <w:sz w:val="16"/>
        </w:rPr>
        <w:t>AUD-01</w:t>
      </w:r>
      <w:r>
        <w:t xml:space="preserve"> is owned by </w:t>
      </w:r>
      <w:r>
        <w:rPr>
          <w:rFonts w:ascii="Consolas" w:hAnsi="Consolas"/>
          <w:sz w:val="16"/>
        </w:rPr>
        <w:t>feature:administration</w:t>
      </w:r>
      <w:r>
        <w:t xml:space="preserve"> because its permission/operational nature is administration, while Audit Trail remains one of the nine canonical report types.</w:t>
      </w:r>
    </w:p>
    <w:p>
      <w:pPr>
        <w:pStyle w:val="Heading1"/>
      </w:pPr>
      <w:r>
        <w:t>20. Administration/platform ownership</w:t>
      </w:r>
    </w:p>
    <w:p>
      <w:pPr>
        <w:pStyle w:val="ListBullet"/>
        <w:spacing w:after="20"/>
      </w:pPr>
      <w:r>
        <w:rPr>
          <w:rFonts w:ascii="Consolas" w:hAnsi="Consolas"/>
          <w:sz w:val="16"/>
        </w:rPr>
        <w:t>feature:administration</w:t>
      </w:r>
      <w:r>
        <w:t xml:space="preserve"> groups low-coupling platform/admin surfaces to avoid unnecessary micro-modules: users, More, notifications, sync status, settings, support and Audit Trail.</w:t>
      </w:r>
    </w:p>
    <w:p>
      <w:pPr>
        <w:pStyle w:val="ListBullet"/>
        <w:spacing w:after="20"/>
      </w:pPr>
      <w:r>
        <w:t>Grouping does not merge their domain rules; permissions remain independently enforced.</w:t>
      </w:r>
    </w:p>
    <w:p>
      <w:pPr>
        <w:pStyle w:val="ListBullet"/>
        <w:spacing w:after="20"/>
      </w:pPr>
      <w:r>
        <w:t>Settings cannot expose server URL, sync interval, conflict strategy, retention, calculation rules or force-overwrite controls.</w:t>
      </w:r>
    </w:p>
    <w:p>
      <w:pPr>
        <w:pStyle w:val="ListBullet"/>
        <w:spacing w:after="20"/>
      </w:pPr>
      <w:r>
        <w:t>Organization Configuration exposes only approved organization-level values; absence of configured values is valid.</w:t>
      </w:r>
    </w:p>
    <w:p>
      <w:pPr>
        <w:pStyle w:val="Heading1"/>
      </w:pPr>
      <w:r>
        <w:t>21. Coroutines, Flow and dispatchers</w:t>
      </w:r>
    </w:p>
    <w:p>
      <w:pPr>
        <w:pStyle w:val="ListBullet"/>
        <w:spacing w:after="20"/>
      </w:pPr>
      <w:r>
        <w:t>Structured concurrency is mandatory; lifecycle work is scoped to ViewModel/use-case/worker lifetimes.</w:t>
      </w:r>
    </w:p>
    <w:p>
      <w:pPr>
        <w:pStyle w:val="ListBullet"/>
        <w:spacing w:after="20"/>
      </w:pPr>
      <w:r>
        <w:t>Repositories expose Flow for observable local state where appropriate; ViewModels convert domain streams to immutable StateFlow/UiState.</w:t>
      </w:r>
    </w:p>
    <w:p>
      <w:pPr>
        <w:pStyle w:val="ListBullet"/>
        <w:spacing w:after="20"/>
      </w:pPr>
      <w:r>
        <w:t>Dispatchers are injected/abstracted where test determinism matters.</w:t>
      </w:r>
    </w:p>
    <w:p>
      <w:pPr>
        <w:pStyle w:val="ListBullet"/>
        <w:spacing w:after="20"/>
      </w:pPr>
      <w:r>
        <w:t>Long-running sync uses WorkManager, not unmanaged background coroutines.</w:t>
      </w:r>
    </w:p>
    <w:p>
      <w:pPr>
        <w:pStyle w:val="ListBullet"/>
        <w:spacing w:after="20"/>
      </w:pPr>
      <w:r>
        <w:t>Cancellation must not leave half-written business/outbox transactions.</w:t>
      </w:r>
    </w:p>
    <w:p>
      <w:pPr>
        <w:pStyle w:val="Heading1"/>
      </w:pPr>
      <w:r>
        <w:t>22. Error and result propagation</w:t>
      </w:r>
    </w:p>
    <w:p>
      <w:pPr>
        <w:pStyle w:val="ListBullet"/>
        <w:spacing w:after="20"/>
      </w:pPr>
      <w:r>
        <w:t>Infrastructure errors are mapped into stable domain/application error types before presentation.</w:t>
      </w:r>
    </w:p>
    <w:p>
      <w:pPr>
        <w:pStyle w:val="ListBullet"/>
        <w:spacing w:after="20"/>
      </w:pPr>
      <w:r>
        <w:t>UI does not parse exception strings or HTTP message text to decide business behavior.</w:t>
      </w:r>
    </w:p>
    <w:p>
      <w:pPr>
        <w:pStyle w:val="ListBullet"/>
        <w:spacing w:after="20"/>
      </w:pPr>
      <w:r>
        <w:t>Retryable transport errors, conflicts, permanent domain rejection and authentication/authorization failures remain distinguishable.</w:t>
      </w:r>
    </w:p>
    <w:p>
      <w:pPr>
        <w:pStyle w:val="ListBullet"/>
        <w:spacing w:after="20"/>
      </w:pPr>
      <w:r>
        <w:t>Correlation IDs flow through diagnostics where available and must not expose secrets.</w:t>
      </w:r>
    </w:p>
    <w:p>
      <w:pPr>
        <w:pStyle w:val="Heading1"/>
      </w:pPr>
      <w:r>
        <w:t>23. Build configuration and dependency governance</w:t>
      </w:r>
    </w:p>
    <w:p>
      <w:pPr>
        <w:pStyle w:val="ListBullet"/>
        <w:spacing w:after="20"/>
      </w:pPr>
      <w:r>
        <w:t>Use Kotlin DSL and a central Gradle version catalog for dependency/plugin versions.</w:t>
      </w:r>
    </w:p>
    <w:p>
      <w:pPr>
        <w:pStyle w:val="ListBullet"/>
        <w:spacing w:after="20"/>
      </w:pPr>
      <w:r>
        <w:t>Dependency versions may evolve without changing module responsibilities; architectural library-role changes require ADR/approval.</w:t>
      </w:r>
    </w:p>
    <w:p>
      <w:pPr>
        <w:pStyle w:val="ListBullet"/>
        <w:spacing w:after="20"/>
      </w:pPr>
      <w:r>
        <w:t xml:space="preserve">Prefer implementation dependencies; expose </w:t>
      </w:r>
      <w:r>
        <w:rPr>
          <w:rFonts w:ascii="Consolas" w:hAnsi="Consolas"/>
          <w:sz w:val="16"/>
        </w:rPr>
        <w:t>api</w:t>
      </w:r>
      <w:r>
        <w:t xml:space="preserve"> only when downstream compilation genuinely requires a public type.</w:t>
      </w:r>
    </w:p>
    <w:p>
      <w:pPr>
        <w:pStyle w:val="ListBullet"/>
        <w:spacing w:after="20"/>
      </w:pPr>
      <w:r>
        <w:t>Ban accidental feature-to-feature and Core-to-Feature edges with automated dependency checks where practical.</w:t>
      </w:r>
    </w:p>
    <w:p>
      <w:pPr>
        <w:pStyle w:val="ListBullet"/>
        <w:spacing w:after="20"/>
      </w:pPr>
      <w:r>
        <w:t>Keep debug tooling out of release runtime and never package production secrets.</w:t>
      </w:r>
    </w:p>
    <w:p>
      <w:pPr>
        <w:pStyle w:val="Heading1"/>
      </w:pPr>
      <w:r>
        <w:t>24. Public API rules between modules</w:t>
      </w:r>
    </w:p>
    <w:p>
      <w:pPr>
        <w:pStyle w:val="ListBullet"/>
        <w:spacing w:after="20"/>
      </w:pPr>
      <w:r>
        <w:t>Default visibility is internal/private. A module exposes the smallest stable surface required by consumers.</w:t>
      </w:r>
    </w:p>
    <w:p>
      <w:pPr>
        <w:pStyle w:val="ListBullet"/>
        <w:spacing w:after="20"/>
      </w:pPr>
      <w:r>
        <w:t>Public contracts use domain/shared models, not Room entities or Retrofit DTOs.</w:t>
      </w:r>
    </w:p>
    <w:p>
      <w:pPr>
        <w:pStyle w:val="ListBullet"/>
        <w:spacing w:after="20"/>
      </w:pPr>
      <w:r>
        <w:t>Feature entry APIs expose destination/navigation contracts and DI-friendly factories/builders only as needed.</w:t>
      </w:r>
    </w:p>
    <w:p>
      <w:pPr>
        <w:pStyle w:val="ListBullet"/>
        <w:spacing w:after="20"/>
      </w:pPr>
      <w:r>
        <w:t>Breaking a public module contract requires coordinated migration and tests; avoid cyclic compatibility shims.</w:t>
      </w:r>
    </w:p>
    <w:p>
      <w:pPr>
        <w:pStyle w:val="Heading1"/>
      </w:pPr>
      <w:r>
        <w:t>25. Test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Module family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Mandatory test focus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calculation-engine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Golden formula tests, boundary validation, precision, all 10 families, fingerprints/versions.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core:domain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rules, permissions, state transitions, Close Guards, ownership/client rules, reset validation.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core:database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DAO queries, transactions, migrations, outbox atomicity, referential protection.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core:network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DTO mapping, error envelope, idempotency/version headers/body, serialization.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core:sync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Retry/backoff classification, FIFO/dependencies, conflict handling, restart recovery, package integrity.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feature:*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ViewModel/UDF state, validation presentation, navigation events, permissions/visibility, Compose UI acceptance.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:app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Composition/root navigation smoke tests and DI graph integration.</w:t>
            </w:r>
          </w:p>
        </w:tc>
      </w:tr>
    </w:tbl>
    <w:p/>
    <w:p>
      <w:pPr>
        <w:spacing w:after="60"/>
      </w:pPr>
      <w:r>
        <w:rPr>
          <w:rFonts w:ascii="Consolas" w:hAnsi="Consolas"/>
          <w:sz w:val="16"/>
        </w:rPr>
        <w:t>core:testing</w:t>
      </w:r>
      <w:r>
        <w:t xml:space="preserve"> provides reusable fakes/fixtures but is never a production runtime dependency.</w:t>
      </w:r>
    </w:p>
    <w:p>
      <w:pPr>
        <w:pStyle w:val="Heading1"/>
      </w:pPr>
      <w:r>
        <w:t>26. Source-set and test-fixture rules</w:t>
      </w:r>
    </w:p>
    <w:p>
      <w:pPr>
        <w:pStyle w:val="ListBullet"/>
        <w:spacing w:after="20"/>
      </w:pPr>
      <w:r>
        <w:t>Production code belongs in main source sets; test helpers remain in test/testFixtures/core:testing.</w:t>
      </w:r>
    </w:p>
    <w:p>
      <w:pPr>
        <w:pStyle w:val="ListBullet"/>
        <w:spacing w:after="20"/>
      </w:pPr>
      <w:r>
        <w:t>Do not ship fake repositories, test credentials or synthetic production bypasses.</w:t>
      </w:r>
    </w:p>
    <w:p>
      <w:pPr>
        <w:pStyle w:val="ListBullet"/>
        <w:spacing w:after="20"/>
      </w:pPr>
      <w:r>
        <w:t>Fixtures for versioned geometry/snapshots must be deterministic and version-controlled.</w:t>
      </w:r>
    </w:p>
    <w:p>
      <w:pPr>
        <w:pStyle w:val="Heading1"/>
      </w:pPr>
      <w:r>
        <w:t>27. Module naming and package conventions</w:t>
      </w:r>
    </w:p>
    <w:p>
      <w:pPr>
        <w:pStyle w:val="ListBullet"/>
        <w:spacing w:after="20"/>
      </w:pPr>
      <w:r>
        <w:t>Gradle paths are exactly those in the frozen inventory unless an approved architecture change says otherwise.</w:t>
      </w:r>
    </w:p>
    <w:p>
      <w:pPr>
        <w:pStyle w:val="ListBullet"/>
        <w:spacing w:after="20"/>
      </w:pPr>
      <w:r>
        <w:t xml:space="preserve">Package namespace follows </w:t>
      </w:r>
      <w:r>
        <w:rPr>
          <w:rFonts w:ascii="Consolas" w:hAnsi="Consolas"/>
          <w:sz w:val="16"/>
        </w:rPr>
        <w:t>com.silomath...</w:t>
      </w:r>
      <w:r>
        <w:t xml:space="preserve"> and module responsibility; package names must not recreate obsolete SiloMatch terminology.</w:t>
      </w:r>
    </w:p>
    <w:p>
      <w:pPr>
        <w:pStyle w:val="ListBullet"/>
        <w:spacing w:after="20"/>
      </w:pPr>
      <w:r>
        <w:t>Feature package structure may use presentation/domain-facing adapters internally but must respect module-level dependency rules.</w:t>
      </w:r>
    </w:p>
    <w:p>
      <w:pPr>
        <w:pStyle w:val="ListBullet"/>
        <w:spacing w:after="20"/>
      </w:pPr>
      <w:r>
        <w:t>Do not encode lifecycle state in package/module names.</w:t>
      </w:r>
    </w:p>
    <w:p>
      <w:pPr>
        <w:pStyle w:val="Heading1"/>
      </w:pPr>
      <w:r>
        <w:t>28. Incremental migration strategy</w:t>
      </w:r>
    </w:p>
    <w:p>
      <w:pPr>
        <w:spacing w:after="60"/>
      </w:pPr>
      <w:r>
        <w:t>The target topology is reached incrementally after auditing the existing dependency graph; no big-bang rewrite is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4"/>
              </w:rPr>
              <w:t>Stage</w:t>
            </w:r>
          </w:p>
        </w:tc>
        <w:tc>
          <w:tcPr>
            <w:tcW w:type="dxa" w:w="3456"/>
          </w:tcPr>
          <w:p>
            <w:r>
              <w:rPr>
                <w:b/>
                <w:sz w:val="14"/>
              </w:rPr>
              <w:t>Migration action</w:t>
            </w:r>
          </w:p>
        </w:tc>
        <w:tc>
          <w:tcPr>
            <w:tcW w:type="dxa" w:w="3456"/>
          </w:tcPr>
          <w:p>
            <w:r>
              <w:rPr>
                <w:b/>
                <w:sz w:val="14"/>
              </w:rPr>
              <w:t>Exit criterion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 current Gradle modules/packages and forbidden edges; freeze behavior.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Dependency map exists; no behavior change.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Establish core:model/common/domain contracts and pure calculation-engine boundary.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Pure contracts compile/test independently.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Extract database/network infrastructure behind repository interfaces.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Features no longer depend directly on DAO/Retrofit.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Establish core:sync durable outbox/worker boundary.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Sync mechanics isolated and tested.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Extract design system/navigation contracts.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Shared UI/navigation primitives no longer duplicated.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M6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Move functionality into frozen feature modules one bounded feature at a time.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No feature-to-feature implementation edges.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M7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Reduce :app to composition/root navigation/DI.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logic removed from app.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M8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Enforce architecture checks and remove temporary migration shims.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Target graph passes automated/manual audit.</w:t>
            </w:r>
          </w:p>
        </w:tc>
      </w:tr>
    </w:tbl>
    <w:p/>
    <w:p>
      <w:pPr>
        <w:pStyle w:val="ListBullet"/>
        <w:spacing w:after="20"/>
      </w:pPr>
      <w:r>
        <w:t>Every migration step must compile and run tests before the next step.</w:t>
      </w:r>
    </w:p>
    <w:p>
      <w:pPr>
        <w:pStyle w:val="ListBullet"/>
        <w:spacing w:after="20"/>
      </w:pPr>
      <w:r>
        <w:t>Do not combine unrelated refactors with business-rule changes.</w:t>
      </w:r>
    </w:p>
    <w:p>
      <w:pPr>
        <w:pStyle w:val="ListBullet"/>
        <w:spacing w:after="20"/>
      </w:pPr>
      <w:r>
        <w:t>Preserve Room data and migrations; modularization is not permission for destructive schema reset.</w:t>
      </w:r>
    </w:p>
    <w:p>
      <w:pPr>
        <w:pStyle w:val="ListBullet"/>
        <w:spacing w:after="20"/>
      </w:pPr>
      <w:r>
        <w:t>Temporary adapters must be explicitly marked and have a removal target.</w:t>
      </w:r>
    </w:p>
    <w:p>
      <w:pPr>
        <w:pStyle w:val="Heading1"/>
      </w:pPr>
      <w:r>
        <w:t>29. Prohibited architectures and anti-patterns</w:t>
      </w:r>
    </w:p>
    <w:p>
      <w:pPr>
        <w:pStyle w:val="ListBullet"/>
        <w:spacing w:after="20"/>
      </w:pPr>
      <w:r>
        <w:t>One module per screen/entity/table/use case.</w:t>
      </w:r>
    </w:p>
    <w:p>
      <w:pPr>
        <w:pStyle w:val="ListBullet"/>
        <w:spacing w:after="20"/>
      </w:pPr>
      <w:r>
        <w:t>Feature-to-feature implementation imports.</w:t>
      </w:r>
    </w:p>
    <w:p>
      <w:pPr>
        <w:pStyle w:val="ListBullet"/>
        <w:spacing w:after="20"/>
      </w:pPr>
      <w:r>
        <w:t>Core depending on Feature.</w:t>
      </w:r>
    </w:p>
    <w:p>
      <w:pPr>
        <w:pStyle w:val="ListBullet"/>
        <w:spacing w:after="20"/>
      </w:pPr>
      <w:r>
        <w:t>Compose -&gt; DAO/Retrofit.</w:t>
      </w:r>
    </w:p>
    <w:p>
      <w:pPr>
        <w:pStyle w:val="ListBullet"/>
        <w:spacing w:after="20"/>
      </w:pPr>
      <w:r>
        <w:t>ViewModel -&gt; SQL/Retrofit service.</w:t>
      </w:r>
    </w:p>
    <w:p>
      <w:pPr>
        <w:pStyle w:val="ListBullet"/>
        <w:spacing w:after="20"/>
      </w:pPr>
      <w:r>
        <w:t>Room entity reused as API DTO/domain/UI model.</w:t>
      </w:r>
    </w:p>
    <w:p>
      <w:pPr>
        <w:pStyle w:val="ListBullet"/>
        <w:spacing w:after="20"/>
      </w:pPr>
      <w:r>
        <w:t>Global service locator or mutable singleton state.</w:t>
      </w:r>
    </w:p>
    <w:p>
      <w:pPr>
        <w:pStyle w:val="ListBullet"/>
        <w:spacing w:after="20"/>
      </w:pPr>
      <w:r>
        <w:t>Calculation formulas inside Compose/ViewModel/repository/network layers.</w:t>
      </w:r>
    </w:p>
    <w:p>
      <w:pPr>
        <w:pStyle w:val="ListBullet"/>
        <w:spacing w:after="20"/>
      </w:pPr>
      <w:r>
        <w:t>Silent last-write-wins for critical inventory data.</w:t>
      </w:r>
    </w:p>
    <w:p>
      <w:pPr>
        <w:pStyle w:val="ListBullet"/>
        <w:spacing w:after="20"/>
      </w:pPr>
      <w:r>
        <w:t>Generic Force Overwrite conflict action.</w:t>
      </w:r>
    </w:p>
    <w:p>
      <w:pPr>
        <w:pStyle w:val="ListBullet"/>
        <w:spacing w:after="20"/>
      </w:pPr>
      <w:r>
        <w:t>Destructive DB migration to simplify modularization.</w:t>
      </w:r>
    </w:p>
    <w:p>
      <w:pPr>
        <w:pStyle w:val="ListBullet"/>
        <w:spacing w:after="20"/>
      </w:pPr>
      <w:r>
        <w:t>Whole-organization offline replication when campaign-scoped package is sufficient.</w:t>
      </w:r>
    </w:p>
    <w:p>
      <w:pPr>
        <w:pStyle w:val="ListBullet"/>
        <w:spacing w:after="20"/>
      </w:pPr>
      <w:r>
        <w:t>Business rules hidden in navigation callbacks or serializers.</w:t>
      </w:r>
    </w:p>
    <w:p>
      <w:pPr>
        <w:pStyle w:val="Heading1"/>
      </w:pPr>
      <w:r>
        <w:t>30. Architecture enforcement</w:t>
      </w:r>
    </w:p>
    <w:p>
      <w:pPr>
        <w:pStyle w:val="ListBullet"/>
        <w:spacing w:after="20"/>
      </w:pPr>
      <w:r>
        <w:t>Gradle dependency declarations are reviewed against the allowed graph.</w:t>
      </w:r>
    </w:p>
    <w:p>
      <w:pPr>
        <w:pStyle w:val="ListBullet"/>
        <w:spacing w:after="20"/>
      </w:pPr>
      <w:r>
        <w:t>Static/module dependency tests should fail prohibited Core-&gt;Feature and Feature-&gt;Feature edges.</w:t>
      </w:r>
    </w:p>
    <w:p>
      <w:pPr>
        <w:pStyle w:val="ListBullet"/>
        <w:spacing w:after="20"/>
      </w:pPr>
      <w:r>
        <w:t>Pure Kotlin calculation-engine build/test must succeed without Android plugin/runtime.</w:t>
      </w:r>
    </w:p>
    <w:p>
      <w:pPr>
        <w:pStyle w:val="ListBullet"/>
        <w:spacing w:after="20"/>
      </w:pPr>
      <w:r>
        <w:t>Architecture review accompanies any new module, cross-module public API or dependency inversion change.</w:t>
      </w:r>
    </w:p>
    <w:p>
      <w:pPr>
        <w:pStyle w:val="ListBullet"/>
        <w:spacing w:after="20"/>
      </w:pPr>
      <w:r>
        <w:t>Document 18 must include acceptance tests/checks for critical architectural invariants.</w:t>
      </w:r>
    </w:p>
    <w:p>
      <w:pPr>
        <w:pStyle w:val="Heading1"/>
      </w:pPr>
      <w:r>
        <w:t>31. Traceability to frozen V6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Frozen decision area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Module-architecture consequence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FD-48 Target modular architecture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Exact pragmatic module inventory in Section 2.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FD-49 Dependency direction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 -&gt; Core; Core !-&gt; Feature; app composition root.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FD-50 Pure Kotlin Calculation Engine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Dedicated `:calculation-engine` isolation.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FD-51 Incremental migration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Section 28 staged migration; no big-bang rewrite.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D29/D30 Offline/sync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`core:sync` + database/network/domain separation and durable outbox.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D18 Close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feature:close presentation/orchestration + authoritative server transaction.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D19/D20 snapshots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Domain/database contracts preserve immutable historical state.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D21/D22/D23 reporting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feature:reports snapshot-based read/export boundary.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FC/IC frozen field/implementation rules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 UI owns controls; domain/data/network modules enforce canonical semantics, metadata, security and error contracts.</w:t>
            </w:r>
          </w:p>
        </w:tc>
      </w:tr>
    </w:tbl>
    <w:p/>
    <w:p>
      <w:pPr>
        <w:pStyle w:val="Heading1"/>
      </w:pPr>
      <w:r>
        <w:t>32. Relationship to Documents 09–20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4"/>
              </w:rPr>
              <w:t>Document</w:t>
            </w:r>
          </w:p>
        </w:tc>
        <w:tc>
          <w:tcPr>
            <w:tcW w:type="dxa" w:w="5184"/>
          </w:tcPr>
          <w:p>
            <w:r>
              <w:rPr>
                <w:b/>
                <w:sz w:val="14"/>
              </w:rPr>
              <w:t>What it will refine without changing this module 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09 DATA_MODEL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Exact entities, attributes, relationships and ownership.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10 DATABASE_SCHEMA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Room/PostgreSQL tables, columns, keys, indexes, migrations.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11 API_SPECIFICATION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Endpoints, DTOs, auth/idempotency/version/error contracts.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12 OFFLINE_SYNC_SPECIFICATION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Queue/package/conflict algorithms and lifecycle.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13 CALCULATION_ENGINE_SPECIFICATION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Exact formulas/parameters/validation/versioning.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14 COMMODITY_SPECIFICATION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Governed commodity/version/density contract.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15 EVIDENCE_STORAGE_SPECIFICATION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Binary/metadata/storage/upload lifecycle.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16 REPORTING_SPECIFICATION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Nine report datasets/filters/exports.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17 SECURITY_AUDIT_PRIVACY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Threat/security/audit/privacy controls.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18 TEST_STRATEGY_ACCEPTANCE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Module tests, architecture tests and acceptance traceability.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19 RETENTION_POLICY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Retention/cleanup constraints.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20 PRODUCTION_OPERATIONS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Environment, release, monitoring, backup/restore and incident operations.</w:t>
            </w:r>
          </w:p>
        </w:tc>
      </w:tr>
    </w:tbl>
    <w:p/>
    <w:p>
      <w:pPr>
        <w:pStyle w:val="Heading1"/>
      </w:pPr>
      <w:r>
        <w:t>33. Module architecture acceptance criteria</w:t>
      </w:r>
    </w:p>
    <w:p>
      <w:pPr>
        <w:pStyle w:val="ListBullet"/>
        <w:spacing w:after="20"/>
      </w:pPr>
      <w:r>
        <w:rPr>
          <w:b/>
        </w:rPr>
        <w:t>MA-01</w:t>
      </w:r>
      <w:r>
        <w:t xml:space="preserve"> The target inventory contains exactly the 19 frozen production/test-support Gradle modules listed in Section 2.</w:t>
      </w:r>
    </w:p>
    <w:p>
      <w:pPr>
        <w:pStyle w:val="ListBullet"/>
        <w:spacing w:after="20"/>
      </w:pPr>
      <w:r>
        <w:rPr>
          <w:b/>
        </w:rPr>
        <w:t>MA-02</w:t>
      </w:r>
      <w:r>
        <w:t xml:space="preserve"> No Core production module depends on a Feature module.</w:t>
      </w:r>
    </w:p>
    <w:p>
      <w:pPr>
        <w:pStyle w:val="ListBullet"/>
        <w:spacing w:after="20"/>
      </w:pPr>
      <w:r>
        <w:rPr>
          <w:b/>
        </w:rPr>
        <w:t>MA-03</w:t>
      </w:r>
      <w:r>
        <w:t xml:space="preserve"> No Feature module depends on another Feature implementation module.</w:t>
      </w:r>
    </w:p>
    <w:p>
      <w:pPr>
        <w:pStyle w:val="ListBullet"/>
        <w:spacing w:after="20"/>
      </w:pPr>
      <w:r>
        <w:rPr>
          <w:b/>
        </w:rPr>
        <w:t>MA-04</w:t>
      </w:r>
      <w:r>
        <w:t xml:space="preserve"> </w:t>
      </w:r>
      <w:r>
        <w:rPr>
          <w:rFonts w:ascii="Consolas" w:hAnsi="Consolas"/>
          <w:sz w:val="16"/>
        </w:rPr>
        <w:t>:app</w:t>
      </w:r>
      <w:r>
        <w:t xml:space="preserve"> is the composition root and contains minimal business logic.</w:t>
      </w:r>
    </w:p>
    <w:p>
      <w:pPr>
        <w:pStyle w:val="ListBullet"/>
        <w:spacing w:after="20"/>
      </w:pPr>
      <w:r>
        <w:rPr>
          <w:b/>
        </w:rPr>
        <w:t>MA-05</w:t>
      </w:r>
      <w:r>
        <w:t xml:space="preserve"> </w:t>
      </w:r>
      <w:r>
        <w:rPr>
          <w:rFonts w:ascii="Consolas" w:hAnsi="Consolas"/>
          <w:sz w:val="16"/>
        </w:rPr>
        <w:t>:calculation-engine</w:t>
      </w:r>
      <w:r>
        <w:t xml:space="preserve"> is pure Kotlin and Android-framework independent.</w:t>
      </w:r>
    </w:p>
    <w:p>
      <w:pPr>
        <w:pStyle w:val="ListBullet"/>
        <w:spacing w:after="20"/>
      </w:pPr>
      <w:r>
        <w:rPr>
          <w:b/>
        </w:rPr>
        <w:t>MA-06</w:t>
      </w:r>
      <w:r>
        <w:t xml:space="preserve"> Compose/ViewModels have no direct DAO/Retrofit access.</w:t>
      </w:r>
    </w:p>
    <w:p>
      <w:pPr>
        <w:pStyle w:val="ListBullet"/>
        <w:spacing w:after="20"/>
      </w:pPr>
      <w:r>
        <w:rPr>
          <w:b/>
        </w:rPr>
        <w:t>MA-07</w:t>
      </w:r>
      <w:r>
        <w:t xml:space="preserve"> Repository interfaces and domain policies are separated from concrete Room/Retrofit implementations.</w:t>
      </w:r>
    </w:p>
    <w:p>
      <w:pPr>
        <w:pStyle w:val="ListBullet"/>
        <w:spacing w:after="20"/>
      </w:pPr>
      <w:r>
        <w:rPr>
          <w:b/>
        </w:rPr>
        <w:t>MA-08</w:t>
      </w:r>
      <w:r>
        <w:t xml:space="preserve"> Room remains the canonical client read source for offline-first operational data where available.</w:t>
      </w:r>
    </w:p>
    <w:p>
      <w:pPr>
        <w:pStyle w:val="ListBullet"/>
        <w:spacing w:after="20"/>
      </w:pPr>
      <w:r>
        <w:rPr>
          <w:b/>
        </w:rPr>
        <w:t>MA-09</w:t>
      </w:r>
      <w:r>
        <w:t xml:space="preserve"> Durable offline-capable mutations persist business change + outbox atomically.</w:t>
      </w:r>
    </w:p>
    <w:p>
      <w:pPr>
        <w:pStyle w:val="ListBullet"/>
        <w:spacing w:after="20"/>
      </w:pPr>
      <w:r>
        <w:rPr>
          <w:b/>
        </w:rPr>
        <w:t>MA-10</w:t>
      </w:r>
      <w:r>
        <w:t xml:space="preserve"> </w:t>
      </w:r>
      <w:r>
        <w:rPr>
          <w:rFonts w:ascii="Consolas" w:hAnsi="Consolas"/>
          <w:sz w:val="16"/>
        </w:rPr>
        <w:t>core:sync</w:t>
      </w:r>
      <w:r>
        <w:t xml:space="preserve"> owns synchronization mechanics without inventing business state transitions.</w:t>
      </w:r>
    </w:p>
    <w:p>
      <w:pPr>
        <w:pStyle w:val="ListBullet"/>
        <w:spacing w:after="20"/>
      </w:pPr>
      <w:r>
        <w:rPr>
          <w:b/>
        </w:rPr>
        <w:t>MA-11</w:t>
      </w:r>
      <w:r>
        <w:t xml:space="preserve"> Navigation uses stable IDs and preserves the frozen 43-component navigation contract.</w:t>
      </w:r>
    </w:p>
    <w:p>
      <w:pPr>
        <w:pStyle w:val="ListBullet"/>
        <w:spacing w:after="20"/>
      </w:pPr>
      <w:r>
        <w:rPr>
          <w:b/>
        </w:rPr>
        <w:t>MA-12</w:t>
      </w:r>
      <w:r>
        <w:t xml:space="preserve"> All 43 UI components have an owning Feature module.</w:t>
      </w:r>
    </w:p>
    <w:p>
      <w:pPr>
        <w:pStyle w:val="ListBullet"/>
        <w:spacing w:after="20"/>
      </w:pPr>
      <w:r>
        <w:rPr>
          <w:b/>
        </w:rPr>
        <w:t>MA-13</w:t>
      </w:r>
      <w:r>
        <w:t xml:space="preserve"> Authorization is not granted by presentation; protected operations are server/domain guarded.</w:t>
      </w:r>
    </w:p>
    <w:p>
      <w:pPr>
        <w:pStyle w:val="ListBullet"/>
        <w:spacing w:after="20"/>
      </w:pPr>
      <w:r>
        <w:rPr>
          <w:b/>
        </w:rPr>
        <w:t>MA-14</w:t>
      </w:r>
      <w:r>
        <w:t xml:space="preserve"> Completed snapshots/history cannot be destructively mutated by feature/infrastructure convenience.</w:t>
      </w:r>
    </w:p>
    <w:p>
      <w:pPr>
        <w:pStyle w:val="ListBullet"/>
        <w:spacing w:after="20"/>
      </w:pPr>
      <w:r>
        <w:rPr>
          <w:b/>
        </w:rPr>
        <w:t>MA-15</w:t>
      </w:r>
      <w:r>
        <w:t xml:space="preserve"> Evidence ownership is separated across capture, domain rules, metadata storage, binary transfer and sync.</w:t>
      </w:r>
    </w:p>
    <w:p>
      <w:pPr>
        <w:pStyle w:val="ListBullet"/>
        <w:spacing w:after="20"/>
      </w:pPr>
      <w:r>
        <w:rPr>
          <w:b/>
        </w:rPr>
        <w:t>MA-16</w:t>
      </w:r>
      <w:r>
        <w:t xml:space="preserve"> Completed reporting uses Final Inventory Snapshot data and does not recalculate current master data.</w:t>
      </w:r>
    </w:p>
    <w:p>
      <w:pPr>
        <w:pStyle w:val="ListBullet"/>
        <w:spacing w:after="20"/>
      </w:pPr>
      <w:r>
        <w:rPr>
          <w:b/>
        </w:rPr>
        <w:t>MA-17</w:t>
      </w:r>
      <w:r>
        <w:t xml:space="preserve"> Hilt bindings preserve dependency inversion and are replaceable in tests.</w:t>
      </w:r>
    </w:p>
    <w:p>
      <w:pPr>
        <w:pStyle w:val="ListBullet"/>
        <w:spacing w:after="20"/>
      </w:pPr>
      <w:r>
        <w:rPr>
          <w:b/>
        </w:rPr>
        <w:t>MA-18</w:t>
      </w:r>
      <w:r>
        <w:t xml:space="preserve"> Production runtime does not depend on </w:t>
      </w:r>
      <w:r>
        <w:rPr>
          <w:rFonts w:ascii="Consolas" w:hAnsi="Consolas"/>
          <w:sz w:val="16"/>
        </w:rPr>
        <w:t>core:testing</w:t>
      </w:r>
      <w:r>
        <w:t>.</w:t>
      </w:r>
    </w:p>
    <w:p>
      <w:pPr>
        <w:pStyle w:val="ListBullet"/>
        <w:spacing w:after="20"/>
      </w:pPr>
      <w:r>
        <w:rPr>
          <w:b/>
        </w:rPr>
        <w:t>MA-19</w:t>
      </w:r>
      <w:r>
        <w:t xml:space="preserve"> Environment endpoints are build-controlled, not user-editable.</w:t>
      </w:r>
    </w:p>
    <w:p>
      <w:pPr>
        <w:pStyle w:val="ListBullet"/>
        <w:spacing w:after="20"/>
      </w:pPr>
      <w:r>
        <w:rPr>
          <w:b/>
        </w:rPr>
        <w:t>MA-20</w:t>
      </w:r>
      <w:r>
        <w:t xml:space="preserve"> Migration is incremental, compile/test gated and preserves production data.</w:t>
      </w:r>
    </w:p>
    <w:p>
      <w:pPr>
        <w:pStyle w:val="ListBullet"/>
        <w:spacing w:after="20"/>
      </w:pPr>
      <w:r>
        <w:rPr>
          <w:b/>
        </w:rPr>
        <w:t>MA-21</w:t>
      </w:r>
      <w:r>
        <w:t xml:space="preserve"> Forbidden dependency edges and calculation-engine purity are architecture-testable.</w:t>
      </w:r>
    </w:p>
    <w:p>
      <w:pPr>
        <w:pStyle w:val="ListBullet"/>
        <w:spacing w:after="20"/>
      </w:pPr>
      <w:r>
        <w:rPr>
          <w:b/>
        </w:rPr>
        <w:t>MA-22</w:t>
      </w:r>
      <w:r>
        <w:t xml:space="preserve"> Documents 09–20 may refine contracts but may not contradict this frozen module topology without approved change.</w:t>
      </w:r>
    </w:p>
    <w:p>
      <w:pPr>
        <w:pStyle w:val="Heading1"/>
      </w:pPr>
      <w:r>
        <w:t>34. Freeze statement</w:t>
      </w:r>
    </w:p>
    <w:p>
      <w:pPr>
        <w:spacing w:after="60"/>
      </w:pPr>
      <w:r>
        <w:t xml:space="preserve">Once approved, this document freezes the V6 module topology and dependency contract. Implementation may evolve internally, but adding/removing production modules, reversing dependency direction, merging the Calculation Engine into Android layers, introducing feature-to-feature implementation coupling, or moving business logic into </w:t>
      </w:r>
      <w:r>
        <w:rPr>
          <w:rFonts w:ascii="Consolas" w:hAnsi="Consolas"/>
          <w:sz w:val="16"/>
        </w:rPr>
        <w:t>:app</w:t>
      </w:r>
      <w:r>
        <w:t xml:space="preserve"> requires an explicit approved architecture change. Details delegated to Documents 09–20 must remain consistent with this contract.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SiloMath V6 • Module Architecture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SiloMath V6 — 08 MODULE_ARCHITECTURE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SiloMath V6 — 08 MODULE_ARCHITECTURE</dc:title>
  <dc:subject>Canonical Gradle module topology and dependency contract</dc:subject>
  <dc:creator>SiloMath V6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