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1.png" ContentType="image/png"/>
  <Override PartName="/word/media/rId44.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 and evaluation of a PBPK model for COMPOUND in healthy adults</w:t>
      </w:r>
    </w:p>
    <w:p>
      <w:pPr>
        <w:pStyle w:val="AbstractTitle"/>
      </w:pPr>
      <w:r>
        <w:t xml:space="preserve">Abstract</w:t>
      </w:r>
    </w:p>
    <w:tbl>
      <w:tblPr>
        <w:tblStyle w:val="Table"/>
        <w:tblW w:type="pct" w:w="5000"/>
        <w:tblLayout w:type="fixed"/>
        <w:tblLook w:firstRow="1" w:lastRow="0" w:firstColumn="0" w:lastColumn="0" w:noHBand="0" w:noVBand="0" w:val="0020"/>
      </w:tblPr>
      <w:tblGrid>
        <w:gridCol w:w="3478"/>
        <w:gridCol w:w="4441"/>
      </w:tblGrid>
      <w:tr>
        <w:trPr>
          <w:tblHeader w:val="on"/>
        </w:trPr>
        <w:tc>
          <w:tcPr/>
          <w:p>
            <w:pPr>
              <w:pStyle w:val="Compact"/>
            </w:pPr>
            <w:r>
              <w:t xml:space="preserve">Version</w:t>
            </w:r>
          </w:p>
        </w:tc>
        <w:tc>
          <w:tcPr/>
          <w:p>
            <w:pPr>
              <w:pStyle w:val="Compact"/>
            </w:pPr>
            <w:r>
              <w:t xml:space="preserve">x.x-OSPy.y</w:t>
            </w:r>
          </w:p>
        </w:tc>
      </w:tr>
      <w:tr>
        <w:tc>
          <w:tcPr/>
          <w:p>
            <w:pPr>
              <w:pStyle w:val="Compact"/>
            </w:pPr>
            <w:r>
              <w:t xml:space="preserve">based on</w:t>
            </w:r>
            <w:r>
              <w:t xml:space="preserve"> </w:t>
            </w:r>
            <w:r>
              <w:rPr>
                <w:i/>
                <w:iCs/>
              </w:rPr>
              <w:t xml:space="preserve">Model Snapshot</w:t>
            </w:r>
            <w:r>
              <w:t xml:space="preserve"> </w:t>
            </w:r>
            <w:r>
              <w:t xml:space="preserve">and</w:t>
            </w:r>
            <w:r>
              <w:t xml:space="preserve"> </w:t>
            </w:r>
            <w:r>
              <w:rPr>
                <w:i/>
                <w:iCs/>
              </w:rPr>
              <w:t xml:space="preserve">Evaluation Plan</w:t>
            </w:r>
          </w:p>
        </w:tc>
        <w:tc>
          <w:tcPr/>
          <w:p>
            <w:pPr>
              <w:pStyle w:val="Compact"/>
            </w:pPr>
            <w:r>
              <w:t xml:space="preserve">https://github.com/Open-Systems-Pharmacology/Lisinopril-Model/releases/tag/vx.x</w:t>
            </w:r>
          </w:p>
        </w:tc>
      </w:tr>
      <w:tr>
        <w:tc>
          <w:tcPr/>
          <w:p>
            <w:pPr>
              <w:pStyle w:val="Compact"/>
            </w:pPr>
            <w:r>
              <w:t xml:space="preserve">OSP Version</w:t>
            </w:r>
          </w:p>
        </w:tc>
        <w:tc>
          <w:tcPr/>
          <w:p>
            <w:pPr>
              <w:pStyle w:val="Compact"/>
            </w:pPr>
            <w:r>
              <w:t xml:space="preserve">y.y</w:t>
            </w:r>
          </w:p>
        </w:tc>
      </w:tr>
      <w:tr>
        <w:tc>
          <w:tcPr/>
          <w:p>
            <w:pPr>
              <w:pStyle w:val="Compact"/>
            </w:pPr>
            <w:r>
              <w:t xml:space="preserve">Qualification Framework Version</w:t>
            </w:r>
          </w:p>
        </w:tc>
        <w:tc>
          <w:tcPr/>
          <w:p>
            <w:pPr>
              <w:pStyle w:val="Compact"/>
            </w:pPr>
            <w:r>
              <w:t xml:space="preserve">z.z</w:t>
            </w:r>
          </w:p>
        </w:tc>
      </w:tr>
    </w:tbl>
    <w:p>
      <w:pPr>
        <w:pStyle w:val="Abstract"/>
      </w:pPr>
      <w:r>
        <w:t xml:space="preserve">This evaluation report and the corresponding PK-Sim project file are filed 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bookmarkStart w:id="introduction" w:name="introduction"/>
      <w:bookmarkEnd w:id="introduction"/>
    </w:p>
    <w:p>
      <w:pPr>
        <w:pStyle w:val="FirstParagraph"/>
      </w:pPr>
      <w:r>
        <w:t xml:space="preserve">The presented model building and evaluation report evaluates the performance of a PBPK model for Lisinopril in healthy adults.</w:t>
      </w:r>
    </w:p>
    <w:p>
      <w:pPr>
        <w:pStyle w:val="BodyText"/>
      </w:pPr>
      <w:r>
        <w:t xml:space="preserve">Lisinopril is an oral, long-acting angiotensin-converting enzyme (ACE) inhibitor used for the treatment of hypertension and heart failure.</w:t>
      </w:r>
      <w:r>
        <w:t xml:space="preserve"> </w:t>
      </w:r>
      <w:r>
        <w:t xml:space="preserve">It reduces blood pressure by inhibiting the conversion of angiotensin I to angiotensin II, leading to vasodilation and decreased aldosterone secretion.</w:t>
      </w:r>
      <w:r>
        <w:t xml:space="preserve"> </w:t>
      </w:r>
      <w:r>
        <w:t xml:space="preserve">Unlike many ACE inhibitors, lisinopril is a hydrophilic compound that does not undergo hepatic metabolism and is excreted unchanged in the urine.</w:t>
      </w:r>
      <w:r>
        <w:t xml:space="preserve"> </w:t>
      </w:r>
      <w:r>
        <w:t xml:space="preserve">Its absorption is moderate, with approximately 25% of the administered dose reaching systemic circulation, and peak plasma concentrations occurring 6-8 hours after oral administration.</w:t>
      </w:r>
      <w:r>
        <w:t xml:space="preserve"> </w:t>
      </w:r>
      <w:r>
        <w:t xml:space="preserve">Food intake does not significantly affect its absorption.</w:t>
      </w:r>
    </w:p>
    <w:p>
      <w:pPr>
        <w:pStyle w:val="BodyText"/>
      </w:pPr>
      <w:r>
        <w:t xml:space="preserve">Lisinopril follows a biphasic pharmacokinetic profile, with an initial distribution phase and a prolonged terminal phase, which reflects its strong binding to ACE rather than drug accumulation.</w:t>
      </w:r>
      <w:r>
        <w:t xml:space="preserve"> </w:t>
      </w:r>
      <w:r>
        <w:t xml:space="preserve">Its elimination occurs primarily through renal excretion, with a consistent clearance profile across different doses.</w:t>
      </w:r>
      <w:r>
        <w:t xml:space="preserve"> </w:t>
      </w:r>
      <w:r>
        <w:t xml:space="preserve">The drug has an effective accumulation half-life of approximately 12 hours, supporting once-daily dosing for sustained blood pressure control.</w:t>
      </w:r>
    </w:p>
    <w:p>
      <w:pPr>
        <w:pStyle w:val="BodyText"/>
      </w:pPr>
      <w:r>
        <w:t xml:space="preserve">The herein presented model building and evaluation report evaluates the performance of the PBPK model for Lisinopril in healthy adults.</w:t>
      </w:r>
    </w:p>
    <w:p>
      <w:pPr>
        <w:pStyle w:val="BodyText"/>
      </w:pPr>
      <w:r>
        <w:t xml:space="preserve">The presented Lisinopril PBPK model as well as the respective evaluation plan and evaluation report are provided open-source (</w:t>
      </w:r>
      <w:hyperlink r:id="rId20">
        <w:r>
          <w:rPr>
            <w:rStyle w:val="Hyperlink"/>
          </w:rPr>
          <w:t xml:space="preserve">https://github.com/Open-Systems-Pharmacology/Lisinopril-model</w:t>
        </w:r>
      </w:hyperlink>
      <w:r>
        <w:t xml:space="preserve">).</w:t>
      </w:r>
    </w:p>
    <w:bookmarkEnd w:id="21"/>
    <w:bookmarkStart w:id="33" w:name="methods"/>
    <w:p>
      <w:pPr>
        <w:pStyle w:val="Heading1"/>
      </w:pPr>
      <w:r>
        <w:t xml:space="preserve">Methods</w:t>
      </w:r>
      <w:bookmarkStart w:id="methods" w:name="methods"/>
      <w:bookmarkEnd w:id="methods"/>
    </w:p>
    <w:bookmarkStart w:id="22"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main-references">
        <w:r>
          <w:rPr>
            <w:rStyle w:val="Hyperlink"/>
          </w:rPr>
          <w:t xml:space="preserve">Kuepfer 2016</w:t>
        </w:r>
      </w:hyperlink>
      <w:r>
        <w:t xml:space="preserve">)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 xml:space="preserve">PK-Sim Ontogeny Database Version 7.3</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main-references">
        <w:r>
          <w:rPr>
            <w:rStyle w:val="Hyperlink"/>
          </w:rPr>
          <w:t xml:space="preserve">Schlender 2016</w:t>
        </w:r>
      </w:hyperlink>
      <w:r>
        <w:t xml:space="preserve">) or otherwise referenced for the specific process.</w:t>
      </w:r>
    </w:p>
    <w:p>
      <w:pPr>
        <w:pStyle w:val="BodyText"/>
      </w:pPr>
      <w:r>
        <w:t xml:space="preserve">First, a base mean model was built using clinical Phase I data including selected single dose studies with intravenous and oral applications of lisinopril to find an appropriate structure to describe the pharmacokinetics in plasma. The mean PBPK model was developed using a typical European individual.</w:t>
      </w:r>
    </w:p>
    <w:p>
      <w:pPr>
        <w:pStyle w:val="BodyText"/>
      </w:pPr>
      <w:r>
        <w:t xml:space="preserve">Unknown parameters (see below) were identified using the Parameter Identification module provided in PK-Sim®. Structural model selection was mainly guided by visual inspection of the resulting description of data and biological plausibility.</w:t>
      </w:r>
    </w:p>
    <w:p>
      <w:pPr>
        <w:pStyle w:val="BodyText"/>
      </w:pPr>
      <w:r>
        <w:t xml:space="preserve">Once the appropriate structural model was identified, additional parameters for tablet formulations were identified.</w:t>
      </w:r>
    </w:p>
    <w:p>
      <w:pPr>
        <w:pStyle w:val="BodyText"/>
      </w:pPr>
      <w:r>
        <w:t xml:space="preserve">The model was then verified by simulating:</w:t>
      </w:r>
    </w:p>
    <w:p>
      <w:pPr>
        <w:pStyle w:val="Compact"/>
        <w:numPr>
          <w:ilvl w:val="0"/>
          <w:numId w:val="1001"/>
        </w:numPr>
      </w:pPr>
      <w:r>
        <w:t xml:space="preserve">Oral administration of lisinopril in fasted state</w:t>
      </w:r>
    </w:p>
    <w:p>
      <w:pPr>
        <w:pStyle w:val="Compact"/>
        <w:numPr>
          <w:ilvl w:val="0"/>
          <w:numId w:val="1001"/>
        </w:numPr>
      </w:pPr>
      <w:r>
        <w:t xml:space="preserve">Oral administration of lisinopril in fed state</w:t>
      </w:r>
    </w:p>
    <w:p>
      <w:pPr>
        <w:pStyle w:val="FirstParagraph"/>
      </w:pPr>
      <w:r>
        <w:t xml:space="preserve">Details about input data (physicochemical,</w:t>
      </w:r>
      <w:r>
        <w:t xml:space="preserve"> </w:t>
      </w:r>
      <w:r>
        <w:rPr>
          <w:i/>
          <w:iCs/>
        </w:rPr>
        <w:t xml:space="preserve">in vitro</w:t>
      </w:r>
      <w:r>
        <w:t xml:space="preserve"> </w:t>
      </w:r>
      <w:r>
        <w:t xml:space="preserve">and clinical) can be found in</w:t>
      </w:r>
      <w:r>
        <w:t xml:space="preserve"> </w:t>
      </w:r>
      <w:hyperlink w:anchor="methods-data">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model-parameters-and-assumptions">
        <w:r>
          <w:rPr>
            <w:rStyle w:val="Hyperlink"/>
          </w:rPr>
          <w:t xml:space="preserve">Section 2.3</w:t>
        </w:r>
      </w:hyperlink>
      <w:r>
        <w:t xml:space="preserve">.</w:t>
      </w:r>
    </w:p>
    <w:bookmarkEnd w:id="22"/>
    <w:bookmarkStart w:id="27" w:name="data"/>
    <w:p>
      <w:pPr>
        <w:pStyle w:val="Heading2"/>
      </w:pPr>
      <w:r>
        <w:t xml:space="preserve">Data</w:t>
      </w:r>
      <w:bookmarkStart w:id="methods-data" w:name="methods-data"/>
      <w:bookmarkEnd w:id="methods-data"/>
    </w:p>
    <w:bookmarkStart w:id="23" w:name="in-vitro-physico-chemical-data"/>
    <w:p>
      <w:pPr>
        <w:pStyle w:val="Heading3"/>
      </w:pPr>
      <w:r>
        <w:t xml:space="preserve">In vitro / physico-chemical Data</w:t>
      </w:r>
      <w:r>
        <w:t xml:space="preserve"> </w:t>
      </w:r>
      <w:bookmarkStart w:id="invitro-and-physico-chemical-data" w:name="invitro-and-physico-chemical-data"/>
      <w:bookmarkEnd w:id="invitro-and-physico-chemical-data"/>
    </w:p>
    <w:p>
      <w:pPr>
        <w:pStyle w:val="FirstParagraph"/>
      </w:pPr>
      <w:r>
        <w:t xml:space="preserve">A literature search was performed to collect available information on physicochemical properties of lisinopril. The obtained information from literature is summarized in the table below.</w:t>
      </w:r>
    </w:p>
    <w:tbl>
      <w:tblPr>
        <w:tblStyle w:val="Table"/>
        <w:tblW w:type="pct" w:w="5000"/>
        <w:tblLayout w:type="fixed"/>
        <w:tblLook w:firstRow="1" w:lastRow="0" w:firstColumn="0" w:lastColumn="0" w:noHBand="0" w:noVBand="0" w:val="0020"/>
      </w:tblPr>
      <w:tblGrid>
        <w:gridCol w:w="981"/>
        <w:gridCol w:w="523"/>
        <w:gridCol w:w="589"/>
        <w:gridCol w:w="2749"/>
        <w:gridCol w:w="3076"/>
      </w:tblGrid>
      <w:tr>
        <w:trPr>
          <w:tblHeader w:val="on"/>
        </w:trPr>
        <w:tc>
          <w:tcPr/>
          <w:p>
            <w:pPr>
              <w:pStyle w:val="Compact"/>
              <w:jc w:val="left"/>
            </w:pPr>
            <w:r>
              <w:rPr>
                <w:b/>
                <w:bCs/>
              </w:rPr>
              <w:t xml:space="preserve">Parameter</w:t>
            </w:r>
          </w:p>
        </w:tc>
        <w:tc>
          <w:tcPr/>
          <w:p>
            <w:pPr>
              <w:pStyle w:val="Compact"/>
            </w:pPr>
            <w:r>
              <w:rPr>
                <w:b/>
                <w:bCs/>
              </w:rPr>
              <w:t xml:space="preserve">Unit</w:t>
            </w:r>
          </w:p>
        </w:tc>
        <w:tc>
          <w:tcPr/>
          <w:p>
            <w:pPr>
              <w:pStyle w:val="Compact"/>
            </w:pPr>
            <w:r>
              <w:rPr>
                <w:b/>
                <w:bCs/>
              </w:rPr>
              <w:t xml:space="preserve">Value</w:t>
            </w:r>
          </w:p>
        </w:tc>
        <w:tc>
          <w:tcPr/>
          <w:p>
            <w:pPr>
              <w:pStyle w:val="Compact"/>
            </w:pPr>
            <w:r>
              <w:t xml:space="preserve">Source</w:t>
            </w:r>
          </w:p>
        </w:tc>
        <w:tc>
          <w:tcPr/>
          <w:p>
            <w:pPr>
              <w:pStyle w:val="Compact"/>
            </w:pPr>
            <w:r>
              <w:rPr>
                <w:b/>
                <w:bCs/>
              </w:rPr>
              <w:t xml:space="preserve">Description</w:t>
            </w:r>
          </w:p>
        </w:tc>
      </w:tr>
      <w:tr>
        <w:tc>
          <w:tcPr/>
          <w:p>
            <w:pPr>
              <w:pStyle w:val="Compact"/>
              <w:jc w:val="left"/>
            </w:pPr>
            <w:r>
              <w:t xml:space="preserve">MW</w:t>
            </w:r>
          </w:p>
        </w:tc>
        <w:tc>
          <w:tcPr/>
          <w:p>
            <w:pPr>
              <w:pStyle w:val="Compact"/>
            </w:pPr>
            <w:r>
              <w:t xml:space="preserve">g/mol</w:t>
            </w:r>
          </w:p>
        </w:tc>
        <w:tc>
          <w:tcPr/>
          <w:p>
            <w:pPr>
              <w:pStyle w:val="Compact"/>
            </w:pPr>
            <w:r>
              <w:t xml:space="preserve">405.49</w:t>
            </w:r>
          </w:p>
        </w:tc>
        <w:tc>
          <w:tcPr/>
          <w:p>
            <w:pPr>
              <w:pStyle w:val="Compact"/>
            </w:pPr>
            <w:hyperlink w:anchor="main-references">
              <w:r>
                <w:rPr>
                  <w:rStyle w:val="Hyperlink"/>
                </w:rPr>
                <w:t xml:space="preserve">PubChem 2024</w:t>
              </w:r>
            </w:hyperlink>
          </w:p>
        </w:tc>
        <w:tc>
          <w:tcPr/>
          <w:p>
            <w:pPr>
              <w:pStyle w:val="Compact"/>
            </w:pPr>
            <w:r>
              <w:t xml:space="preserve">Molecular weight</w:t>
            </w:r>
          </w:p>
        </w:tc>
      </w:tr>
      <w:tr>
        <w:tc>
          <w:tcPr/>
          <w:p>
            <w:pPr>
              <w:pStyle w:val="Compact"/>
              <w:jc w:val="left"/>
            </w:pPr>
            <w:r>
              <w:t xml:space="preserve">pK</w:t>
            </w:r>
            <w:r>
              <w:rPr>
                <w:vertAlign w:val="subscript"/>
              </w:rPr>
              <w:t xml:space="preserve">a</w:t>
            </w:r>
          </w:p>
        </w:tc>
        <w:tc>
          <w:tcPr/>
          <w:p>
            <w:pPr>
              <w:pStyle w:val="Compact"/>
            </w:pPr>
            <w:r>
              <w:t xml:space="preserve">-</w:t>
            </w:r>
          </w:p>
        </w:tc>
        <w:tc>
          <w:tcPr/>
          <w:p>
            <w:pPr>
              <w:pStyle w:val="Compact"/>
            </w:pPr>
            <w:r>
              <w:t xml:space="preserve">1.63 (strongest acidic)</w:t>
            </w:r>
          </w:p>
        </w:tc>
        <w:tc>
          <w:tcPr/>
          <w:p>
            <w:pPr>
              <w:pStyle w:val="Compact"/>
            </w:pPr>
            <w:hyperlink w:anchor="main-references">
              <w:r>
                <w:rPr>
                  <w:rStyle w:val="Hyperlink"/>
                </w:rPr>
                <w:t xml:space="preserve">Takács-Novák 2003</w:t>
              </w:r>
            </w:hyperlink>
          </w:p>
        </w:tc>
        <w:tc>
          <w:tcPr/>
          <w:p>
            <w:pPr>
              <w:pStyle w:val="Compact"/>
            </w:pPr>
            <w:r>
              <w:t xml:space="preserve">Acid dissociation constant</w:t>
            </w:r>
          </w:p>
        </w:tc>
      </w:tr>
      <w:tr>
        <w:tc>
          <w:tcPr/>
          <w:p>
            <w:pPr>
              <w:pStyle w:val="Compact"/>
              <w:jc w:val="left"/>
            </w:pPr>
            <w:r>
              <w:t xml:space="preserve">pK</w:t>
            </w:r>
            <w:r>
              <w:rPr>
                <w:vertAlign w:val="subscript"/>
              </w:rPr>
              <w:t xml:space="preserve">a</w:t>
            </w:r>
          </w:p>
        </w:tc>
        <w:tc>
          <w:tcPr/>
          <w:p>
            <w:pPr>
              <w:pStyle w:val="Compact"/>
            </w:pPr>
            <w:r>
              <w:t xml:space="preserve">-</w:t>
            </w:r>
          </w:p>
        </w:tc>
        <w:tc>
          <w:tcPr/>
          <w:p>
            <w:pPr>
              <w:pStyle w:val="Compact"/>
            </w:pPr>
            <w:r>
              <w:t xml:space="preserve">10.75 (strongest basic)</w:t>
            </w:r>
          </w:p>
        </w:tc>
        <w:tc>
          <w:tcPr/>
          <w:p>
            <w:pPr>
              <w:pStyle w:val="Compact"/>
            </w:pPr>
            <w:hyperlink w:anchor="main-references">
              <w:r>
                <w:rPr>
                  <w:rStyle w:val="Hyperlink"/>
                </w:rPr>
                <w:t xml:space="preserve">Takács-Novák 2003</w:t>
              </w:r>
            </w:hyperlink>
          </w:p>
        </w:tc>
        <w:tc>
          <w:tcPr/>
          <w:p>
            <w:pPr>
              <w:pStyle w:val="Compact"/>
            </w:pPr>
            <w:r>
              <w:t xml:space="preserve">Acid dissociation constant</w:t>
            </w:r>
          </w:p>
        </w:tc>
      </w:tr>
      <w:tr>
        <w:tc>
          <w:tcPr/>
          <w:p>
            <w:pPr>
              <w:pStyle w:val="Compact"/>
              <w:jc w:val="left"/>
            </w:pPr>
            <w:r>
              <w:t xml:space="preserve">Solubility (pH)</w:t>
            </w:r>
          </w:p>
        </w:tc>
        <w:tc>
          <w:tcPr/>
          <w:p>
            <w:pPr>
              <w:pStyle w:val="Compact"/>
            </w:pPr>
            <w:r>
              <w:t xml:space="preserve">1 at pH7.2</w:t>
            </w:r>
          </w:p>
        </w:tc>
        <w:tc>
          <w:tcPr/>
          <w:p>
            <w:pPr>
              <w:pStyle w:val="Compact"/>
            </w:pPr>
            <w:r>
              <w:t xml:space="preserve">mg/mL</w:t>
            </w:r>
          </w:p>
        </w:tc>
        <w:tc>
          <w:tcPr/>
          <w:p>
            <w:pPr>
              <w:pStyle w:val="Compact"/>
            </w:pPr>
            <w:hyperlink w:anchor="main-references">
              <w:r>
                <w:rPr>
                  <w:rStyle w:val="Hyperlink"/>
                </w:rPr>
                <w:t xml:space="preserve">Product information from Cayman Chemical Co</w:t>
              </w:r>
            </w:hyperlink>
          </w:p>
        </w:tc>
        <w:tc>
          <w:tcPr/>
          <w:p>
            <w:pPr>
              <w:pStyle w:val="Compact"/>
            </w:pPr>
            <w:r>
              <w:t xml:space="preserve">Aqueous Solubility, FaSSIF, …</w:t>
            </w:r>
          </w:p>
        </w:tc>
      </w:tr>
      <w:tr>
        <w:tc>
          <w:tcPr/>
          <w:p>
            <w:pPr>
              <w:pStyle w:val="Compact"/>
              <w:jc w:val="left"/>
            </w:pPr>
            <w:r>
              <w:t xml:space="preserve">fu</w:t>
            </w:r>
          </w:p>
        </w:tc>
        <w:tc>
          <w:tcPr/>
          <w:p>
            <w:pPr>
              <w:pStyle w:val="Compact"/>
            </w:pPr>
            <w:r>
              <w:t xml:space="preserve">%</w:t>
            </w:r>
          </w:p>
        </w:tc>
        <w:tc>
          <w:tcPr/>
          <w:p>
            <w:pPr>
              <w:pStyle w:val="Compact"/>
            </w:pPr>
            <w:r>
              <w:t xml:space="preserve">100</w:t>
            </w:r>
          </w:p>
        </w:tc>
        <w:tc>
          <w:tcPr/>
          <w:p>
            <w:pPr>
              <w:pStyle w:val="Compact"/>
            </w:pPr>
            <w:hyperlink w:anchor="main-references">
              <w:r>
                <w:rPr>
                  <w:rStyle w:val="Hyperlink"/>
                </w:rPr>
                <w:t xml:space="preserve">Cayman Chem 2022</w:t>
              </w:r>
            </w:hyperlink>
          </w:p>
        </w:tc>
        <w:tc>
          <w:tcPr/>
          <w:p>
            <w:pPr>
              <w:pStyle w:val="Compact"/>
            </w:pPr>
            <w:r>
              <w:t xml:space="preserve">Fraction unbound in plasma</w:t>
            </w:r>
          </w:p>
        </w:tc>
      </w:tr>
    </w:tbl>
    <w:bookmarkEnd w:id="23"/>
    <w:bookmarkStart w:id="26" w:name="clinical-data"/>
    <w:p>
      <w:pPr>
        <w:pStyle w:val="Heading3"/>
      </w:pPr>
      <w:r>
        <w:t xml:space="preserve">Clinical Data</w:t>
      </w:r>
      <w:r>
        <w:t xml:space="preserve"> </w:t>
      </w:r>
      <w:bookmarkStart w:id="clinical-data" w:name="clinical-data"/>
      <w:bookmarkEnd w:id="clinical-data"/>
    </w:p>
    <w:p>
      <w:pPr>
        <w:pStyle w:val="FirstParagraph"/>
      </w:pPr>
      <w:r>
        <w:t xml:space="preserve">A literature search was performed to collect available clinical data on lisinopril in healthy adults.</w:t>
      </w:r>
    </w:p>
    <w:bookmarkStart w:id="24" w:name="model-building"/>
    <w:p>
      <w:pPr>
        <w:pStyle w:val="Heading4"/>
      </w:pPr>
      <w:r>
        <w:t xml:space="preserve">Model Building</w:t>
      </w:r>
      <w:r>
        <w:t xml:space="preserve"> </w:t>
      </w:r>
      <w:bookmarkStart w:id="model-building" w:name="model-building"/>
      <w:bookmarkEnd w:id="model-building"/>
    </w:p>
    <w:p>
      <w:pPr>
        <w:pStyle w:val="FirstParagraph"/>
      </w:pPr>
      <w:r>
        <w:t xml:space="preserve">The following studies were used for model building (training data):</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pPr>
            <w:r>
              <w:rPr>
                <w:b/>
                <w:bCs/>
              </w:rPr>
              <w:t xml:space="preserve">Dose [mg]</w:t>
            </w:r>
          </w:p>
        </w:tc>
        <w:tc>
          <w:tcPr/>
          <w:p>
            <w:pPr>
              <w:pStyle w:val="Compact"/>
            </w:pPr>
            <w:r>
              <w:rPr>
                <w:b/>
                <w:bCs/>
              </w:rPr>
              <w:t xml:space="preserve">Dosing</w:t>
            </w:r>
          </w:p>
        </w:tc>
        <w:tc>
          <w:tcPr/>
          <w:p>
            <w:pPr>
              <w:pStyle w:val="Compact"/>
            </w:pPr>
            <w:r>
              <w:rPr>
                <w:b/>
                <w:bCs/>
              </w:rPr>
              <w:t xml:space="preserve">PK data</w:t>
            </w:r>
          </w:p>
        </w:tc>
        <w:tc>
          <w:tcPr/>
          <w:p>
            <w:pPr>
              <w:pStyle w:val="Compact"/>
            </w:pPr>
            <w:r>
              <w:rPr>
                <w:b/>
                <w:bCs/>
              </w:rPr>
              <w:t xml:space="preserve">Dataset</w:t>
            </w:r>
          </w:p>
        </w:tc>
        <w:tc>
          <w:tcPr/>
          <w:p>
            <w:pPr>
              <w:pStyle w:val="Compact"/>
            </w:pPr>
            <w:r>
              <w:rPr>
                <w:b/>
                <w:bCs/>
              </w:rPr>
              <w:t xml:space="preserve">Reference</w:t>
            </w:r>
          </w:p>
        </w:tc>
      </w:tr>
      <w:tr>
        <w:tc>
          <w:tcPr/>
          <w:p>
            <w:pPr>
              <w:pStyle w:val="Compact"/>
            </w:pPr>
            <w:r>
              <w:t xml:space="preserve">10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Ulm 1982</w:t>
              </w:r>
            </w:hyperlink>
          </w:p>
        </w:tc>
      </w:tr>
      <w:tr>
        <w:tc>
          <w:tcPr/>
          <w:p>
            <w:pPr>
              <w:pStyle w:val="Compact"/>
            </w:pPr>
            <w:r>
              <w:t xml:space="preserve">5</w:t>
            </w:r>
          </w:p>
        </w:tc>
        <w:tc>
          <w:tcPr/>
          <w:p>
            <w:pPr>
              <w:pStyle w:val="Compact"/>
            </w:pPr>
            <w:r>
              <w:t xml:space="preserve">po, tab, fasted, qd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Gautam 1987</w:t>
              </w:r>
            </w:hyperlink>
          </w:p>
        </w:tc>
      </w:tr>
      <w:tr>
        <w:tc>
          <w:tcPr/>
          <w:p>
            <w:pPr>
              <w:pStyle w:val="Compact"/>
            </w:pPr>
            <w:r>
              <w:t xml:space="preserve">20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r>
        <w:tc>
          <w:tcPr/>
          <w:p>
            <w:pPr>
              <w:pStyle w:val="Compact"/>
            </w:pPr>
            <w:r>
              <w:t xml:space="preserve">20</w:t>
            </w:r>
          </w:p>
        </w:tc>
        <w:tc>
          <w:tcPr/>
          <w:p>
            <w:pPr>
              <w:pStyle w:val="Compact"/>
            </w:pPr>
            <w:r>
              <w:t xml:space="preserve">po, tab, fed,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bl>
    <w:bookmarkEnd w:id="24"/>
    <w:bookmarkStart w:id="25" w:name="model-verification"/>
    <w:p>
      <w:pPr>
        <w:pStyle w:val="Heading4"/>
      </w:pPr>
      <w:r>
        <w:t xml:space="preserve">Model Verification</w:t>
      </w:r>
      <w:r>
        <w:t xml:space="preserve"> </w:t>
      </w:r>
      <w:bookmarkStart w:id="model-verification" w:name="model-verification"/>
      <w:bookmarkEnd w:id="model-verification"/>
    </w:p>
    <w:p>
      <w:pPr>
        <w:pStyle w:val="FirstParagraph"/>
      </w:pPr>
      <w:r>
        <w:t xml:space="preserve">The following studies were used for model verification:</w:t>
      </w:r>
    </w:p>
    <w:tbl>
      <w:tblPr>
        <w:tblStyle w:val="Table"/>
        <w:tblW w:type="pct" w:w="5000"/>
        <w:tblLayout w:type="fixed"/>
        <w:tblLook w:firstRow="1" w:lastRow="0" w:firstColumn="0" w:lastColumn="0" w:noHBand="0" w:noVBand="0" w:val="0020"/>
      </w:tblPr>
      <w:tblGrid>
        <w:gridCol w:w="1305"/>
        <w:gridCol w:w="1653"/>
        <w:gridCol w:w="2001"/>
        <w:gridCol w:w="1479"/>
        <w:gridCol w:w="1479"/>
      </w:tblGrid>
      <w:tr>
        <w:trPr>
          <w:tblHeader w:val="on"/>
        </w:trPr>
        <w:tc>
          <w:tcPr/>
          <w:p>
            <w:pPr>
              <w:pStyle w:val="Compact"/>
            </w:pPr>
            <w:r>
              <w:rPr>
                <w:b/>
                <w:bCs/>
              </w:rPr>
              <w:t xml:space="preserve">Dose [mg]</w:t>
            </w:r>
          </w:p>
        </w:tc>
        <w:tc>
          <w:tcPr/>
          <w:p>
            <w:pPr>
              <w:pStyle w:val="Compact"/>
            </w:pPr>
            <w:r>
              <w:rPr>
                <w:b/>
                <w:bCs/>
              </w:rPr>
              <w:t xml:space="preserve">Dosing</w:t>
            </w:r>
          </w:p>
        </w:tc>
        <w:tc>
          <w:tcPr/>
          <w:p>
            <w:pPr>
              <w:pStyle w:val="Compact"/>
            </w:pPr>
            <w:r>
              <w:rPr>
                <w:b/>
                <w:bCs/>
              </w:rPr>
              <w:t xml:space="preserve">PK data</w:t>
            </w:r>
          </w:p>
        </w:tc>
        <w:tc>
          <w:tcPr/>
          <w:p>
            <w:pPr>
              <w:pStyle w:val="Compact"/>
            </w:pPr>
            <w:r>
              <w:rPr>
                <w:b/>
                <w:bCs/>
              </w:rPr>
              <w:t xml:space="preserve">Dataset</w:t>
            </w:r>
          </w:p>
        </w:tc>
        <w:tc>
          <w:tcPr/>
          <w:p>
            <w:pPr>
              <w:pStyle w:val="Compact"/>
            </w:pPr>
            <w:r>
              <w:rPr>
                <w:b/>
                <w:bCs/>
              </w:rPr>
              <w:t xml:space="preserve">Reference</w:t>
            </w:r>
          </w:p>
        </w:tc>
      </w:tr>
      <w:tr>
        <w:tc>
          <w:tcPr/>
          <w:p>
            <w:pPr>
              <w:pStyle w:val="Compact"/>
            </w:pPr>
            <w:r>
              <w:t xml:space="preserve">10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Ulm 1982</w:t>
              </w:r>
            </w:hyperlink>
          </w:p>
        </w:tc>
      </w:tr>
      <w:tr>
        <w:tc>
          <w:tcPr/>
          <w:p>
            <w:pPr>
              <w:pStyle w:val="Compact"/>
            </w:pPr>
            <w:r>
              <w:t xml:space="preserve">5</w:t>
            </w:r>
          </w:p>
        </w:tc>
        <w:tc>
          <w:tcPr/>
          <w:p>
            <w:pPr>
              <w:pStyle w:val="Compact"/>
            </w:pPr>
            <w:r>
              <w:t xml:space="preserve">po, tab, fasted, qd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Gautam 1987</w:t>
              </w:r>
            </w:hyperlink>
          </w:p>
        </w:tc>
      </w:tr>
      <w:tr>
        <w:tc>
          <w:tcPr/>
          <w:p>
            <w:pPr>
              <w:pStyle w:val="Compact"/>
            </w:pPr>
            <w:r>
              <w:t xml:space="preserve">20</w:t>
            </w:r>
          </w:p>
        </w:tc>
        <w:tc>
          <w:tcPr/>
          <w:p>
            <w:pPr>
              <w:pStyle w:val="Compact"/>
            </w:pPr>
            <w:r>
              <w:t xml:space="preserve">po, tab, fasted,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r>
        <w:tc>
          <w:tcPr/>
          <w:p>
            <w:pPr>
              <w:pStyle w:val="Compact"/>
            </w:pPr>
            <w:r>
              <w:t xml:space="preserve">20</w:t>
            </w:r>
          </w:p>
        </w:tc>
        <w:tc>
          <w:tcPr/>
          <w:p>
            <w:pPr>
              <w:pStyle w:val="Compact"/>
            </w:pPr>
            <w:r>
              <w:t xml:space="preserve">po, tab, fed, sd</w:t>
            </w:r>
          </w:p>
        </w:tc>
        <w:tc>
          <w:tcPr/>
          <w:p>
            <w:pPr>
              <w:pStyle w:val="Compact"/>
            </w:pPr>
            <w:r>
              <w:t xml:space="preserve">plasma</w:t>
            </w:r>
          </w:p>
        </w:tc>
        <w:tc>
          <w:tcPr/>
          <w:p>
            <w:pPr>
              <w:pStyle w:val="Compact"/>
            </w:pPr>
            <w:r>
              <w:t xml:space="preserve">training</w:t>
            </w:r>
          </w:p>
        </w:tc>
        <w:tc>
          <w:tcPr/>
          <w:p>
            <w:pPr>
              <w:pStyle w:val="Compact"/>
            </w:pPr>
            <w:hyperlink w:anchor="Xa559bd5247f9128e74e6edcc17de37648e8cde6">
              <w:r>
                <w:rPr>
                  <w:rStyle w:val="Hyperlink"/>
                </w:rPr>
                <w:t xml:space="preserve">Mojaverian 1986</w:t>
              </w:r>
            </w:hyperlink>
          </w:p>
        </w:tc>
      </w:tr>
    </w:tbl>
    <w:bookmarkEnd w:id="25"/>
    <w:bookmarkEnd w:id="26"/>
    <w:bookmarkEnd w:id="27"/>
    <w:bookmarkStart w:id="32"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8" w:name="absorption"/>
    <w:p>
      <w:pPr>
        <w:pStyle w:val="Heading3"/>
      </w:pPr>
      <w:r>
        <w:t xml:space="preserve">Absorption</w:t>
      </w:r>
      <w:r>
        <w:t xml:space="preserve"> </w:t>
      </w:r>
      <w:bookmarkStart w:id="model-parameters-and-assumptions-absorption" w:name="model-parameters-and-assumptions-absorption"/>
      <w:bookmarkEnd w:id="model-parameters-and-assumptions-absorption"/>
    </w:p>
    <w:p>
      <w:pPr>
        <w:pStyle w:val="FirstParagraph"/>
      </w:pPr>
      <w:r>
        <w:t xml:space="preserve">The parameters values for</w:t>
      </w:r>
      <w:r>
        <w:t xml:space="preserve"> </w:t>
      </w:r>
      <w:r>
        <w:rPr>
          <w:rStyle w:val="VerbatimChar"/>
        </w:rPr>
        <w:t xml:space="preserve">Intestinal permeability</w:t>
      </w:r>
      <w:r>
        <w:t xml:space="preserve"> </w:t>
      </w:r>
      <w:r>
        <w:t xml:space="preserve">and</w:t>
      </w:r>
      <w:r>
        <w:t xml:space="preserve"> </w:t>
      </w:r>
      <w:r>
        <w:rPr>
          <w:rStyle w:val="VerbatimChar"/>
        </w:rPr>
        <w:t xml:space="preserve">Permeability P(intracellular-&gt;interstitial) Mucosa</w:t>
      </w:r>
      <w:r>
        <w:t xml:space="preserve"> </w:t>
      </w:r>
      <w:r>
        <w:t xml:space="preserve">were optimized based on clinical oral data, see</w:t>
      </w:r>
      <w:r>
        <w:t xml:space="preserve"> </w:t>
      </w:r>
      <w:hyperlink w:anchor="Xa5b1ded4e723b0405536066fc0cd2600f4c274f">
        <w:r>
          <w:rPr>
            <w:rStyle w:val="Hyperlink"/>
          </w:rPr>
          <w:t xml:space="preserve">Section 2.3.4</w:t>
        </w:r>
      </w:hyperlink>
      <w:r>
        <w:t xml:space="preserve">.</w:t>
      </w:r>
      <w:r>
        <w:t xml:space="preserve"> </w:t>
      </w:r>
      <w:r>
        <w:t xml:space="preserve">The measured solubility of lisinopril was taken from Product information from Cayman Chemical Co (see</w:t>
      </w:r>
      <w:r>
        <w:t xml:space="preserve"> </w:t>
      </w:r>
      <w:hyperlink w:anchor="invitro-and-physico-chemical-data">
        <w:r>
          <w:rPr>
            <w:rStyle w:val="Hyperlink"/>
          </w:rPr>
          <w:t xml:space="preserve">Section 2.2.1</w:t>
        </w:r>
      </w:hyperlink>
      <w:r>
        <w:t xml:space="preserve">).</w:t>
      </w:r>
    </w:p>
    <w:p>
      <w:pPr>
        <w:pStyle w:val="BodyText"/>
      </w:pPr>
      <w:r>
        <w:t xml:space="preserve">Tablet dissolution was modeled using an empirical Weibull dissolution approach, with the corresponding parameters estimated accordingly.</w:t>
      </w:r>
    </w:p>
    <w:bookmarkEnd w:id="28"/>
    <w:bookmarkStart w:id="29" w:name="distribution"/>
    <w:p>
      <w:pPr>
        <w:pStyle w:val="Heading3"/>
      </w:pPr>
      <w:r>
        <w:t xml:space="preserve">Distribution</w:t>
      </w:r>
      <w:r>
        <w:t xml:space="preserve"> </w:t>
      </w:r>
      <w:bookmarkStart w:id="model-parameters-and-assumptions-distribution" w:name="model-parameters-and-assumptions-distribution"/>
      <w:bookmarkEnd w:id="model-parameters-and-assumptions-distribution"/>
    </w:p>
    <w:p>
      <w:pPr>
        <w:pStyle w:val="FirstParagraph"/>
      </w:pPr>
      <w:r>
        <w:t xml:space="preserve">Lisinopril does not bind to plasma proteins (fu = 100 %) (see</w:t>
      </w:r>
      <w:r>
        <w:t xml:space="preserve"> </w:t>
      </w:r>
      <w:hyperlink w:anchor="invitro-and-physico-chemical-data">
        <w:r>
          <w:rPr>
            <w:rStyle w:val="Hyperlink"/>
          </w:rPr>
          <w:t xml:space="preserve">Section 2.2.1</w:t>
        </w:r>
      </w:hyperlink>
      <w:r>
        <w:t xml:space="preserve">) (</w:t>
      </w:r>
      <w:hyperlink w:anchor="main-references">
        <w:r>
          <w:rPr>
            <w:rStyle w:val="Hyperlink"/>
          </w:rPr>
          <w:t xml:space="preserve">Beermann 1989</w:t>
        </w:r>
      </w:hyperlink>
      <w:r>
        <w:t xml:space="preserve">). In this PBPK model, a value of 100% was assigned to</w:t>
      </w:r>
      <w:r>
        <w:t xml:space="preserve"> </w:t>
      </w:r>
      <w:r>
        <w:rPr>
          <w:rStyle w:val="VerbatimChar"/>
        </w:rPr>
        <w:t xml:space="preserve">Fraction unbound (plasma, reference value)</w:t>
      </w:r>
      <w:r>
        <w:t xml:space="preserve">.</w:t>
      </w:r>
    </w:p>
    <w:p>
      <w:pPr>
        <w:pStyle w:val="BodyText"/>
      </w:pPr>
      <w:r>
        <w:t xml:space="preserve">An important parameter influencing the resulting volume of distribution is lipophilicity, which was also estimated.</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Schmitt</w:t>
      </w:r>
      <w:r>
        <w:t xml:space="preserve"> </w:t>
      </w:r>
      <w:r>
        <w:t xml:space="preserve">and cellular permeability calculation by</w:t>
      </w:r>
      <w:r>
        <w:t xml:space="preserve"> </w:t>
      </w:r>
      <w:r>
        <w:rPr>
          <w:rStyle w:val="VerbatimChar"/>
        </w:rPr>
        <w:t xml:space="preserve">Charged dependent Schmitt</w:t>
      </w:r>
      <w:r>
        <w:t xml:space="preserve">.</w:t>
      </w:r>
    </w:p>
    <w:bookmarkEnd w:id="29"/>
    <w:bookmarkStart w:id="30" w:name="metabolism-and-elimination"/>
    <w:p>
      <w:pPr>
        <w:pStyle w:val="Heading3"/>
      </w:pPr>
      <w:r>
        <w:t xml:space="preserve">Metabolism and Elimination</w:t>
      </w:r>
      <w:r>
        <w:t xml:space="preserve"> </w:t>
      </w:r>
      <w:bookmarkStart w:id="model-parameters-and-assumptions-metabolism-and-elimination" w:name="model-parameters-and-assumptions-metabolism-and-elimination"/>
      <w:bookmarkEnd w:id="model-parameters-and-assumptions-metabolism-and-elimination"/>
    </w:p>
    <w:p>
      <w:pPr>
        <w:pStyle w:val="FirstParagraph"/>
      </w:pPr>
      <w:r>
        <w:t xml:space="preserve">After absorption, lisinopril remains unbound to plasma proteins, does not undergo metabolism, and is not secreted into bile. The drug is primarily eliminated through renal plasma clearance, with</w:t>
      </w:r>
      <w:r>
        <w:t xml:space="preserve"> </w:t>
      </w:r>
      <w:r>
        <w:rPr>
          <w:rStyle w:val="VerbatimChar"/>
        </w:rPr>
        <w:t xml:space="preserve">Plasma Clearance</w:t>
      </w:r>
      <w:r>
        <w:t xml:space="preserve"> </w:t>
      </w:r>
      <w:r>
        <w:t xml:space="preserve">estimated accordingly.</w:t>
      </w:r>
    </w:p>
    <w:bookmarkEnd w:id="30"/>
    <w:bookmarkStart w:id="31" w:name="automated-parameter-identification"/>
    <w:p>
      <w:pPr>
        <w:pStyle w:val="Heading3"/>
      </w:pPr>
      <w:r>
        <w:t xml:space="preserve">Automated Parameter Identification</w:t>
      </w:r>
      <w:r>
        <w:t xml:space="preserve"> </w:t>
      </w:r>
      <w:bookmarkStart w:id="model-parameters-and-assumptions-parameter-identification" w:name="model-parameters-and-assumptions-parameter-identification"/>
      <w:bookmarkEnd w:id="model-parameters-and-assumptions-parameter-identification"/>
    </w:p>
    <w:p>
      <w:pPr>
        <w:pStyle w:val="FirstParagraph"/>
      </w:pPr>
      <w:r>
        <w:t xml:space="preserve">This is the result of the final parameter identification.</w:t>
      </w:r>
    </w:p>
    <w:tbl>
      <w:tblPr>
        <w:tblStyle w:val="Table"/>
        <w:tblW w:type="pct" w:w="5000"/>
        <w:tblLayout w:type="fixed"/>
        <w:tblLook w:firstRow="1" w:lastRow="0" w:firstColumn="0" w:lastColumn="0" w:noHBand="0" w:noVBand="0" w:val="0020"/>
      </w:tblPr>
      <w:tblGrid>
        <w:gridCol w:w="4061"/>
        <w:gridCol w:w="3046"/>
        <w:gridCol w:w="812"/>
      </w:tblGrid>
      <w:tr>
        <w:trPr>
          <w:tblHeader w:val="on"/>
        </w:trPr>
        <w:tc>
          <w:tcPr/>
          <w:p>
            <w:pPr>
              <w:pStyle w:val="Compact"/>
            </w:pPr>
            <w:r>
              <w:t xml:space="preserve">Model Parameter</w:t>
            </w:r>
          </w:p>
        </w:tc>
        <w:tc>
          <w:tcPr/>
          <w:p>
            <w:pPr>
              <w:pStyle w:val="Compact"/>
            </w:pPr>
            <w:r>
              <w:t xml:space="preserve">Optimized Value</w:t>
            </w:r>
          </w:p>
        </w:tc>
        <w:tc>
          <w:tcPr/>
          <w:p>
            <w:pPr>
              <w:pStyle w:val="Compact"/>
            </w:pPr>
            <w:r>
              <w:t xml:space="preserve">Unit</w:t>
            </w:r>
          </w:p>
        </w:tc>
      </w:tr>
      <w:tr>
        <w:tc>
          <w:tcPr/>
          <w:p>
            <w:pPr>
              <w:pStyle w:val="Compact"/>
            </w:pPr>
            <w:r>
              <w:rPr>
                <w:rStyle w:val="VerbatimChar"/>
              </w:rPr>
              <w:t xml:space="preserve">lipophilicity</w:t>
            </w:r>
          </w:p>
        </w:tc>
        <w:tc>
          <w:tcPr/>
          <w:p>
            <w:pPr>
              <w:pStyle w:val="Compact"/>
            </w:pPr>
            <w:r>
              <w:t xml:space="preserve">-0.58</w:t>
            </w:r>
          </w:p>
        </w:tc>
        <w:tc>
          <w:tcPr/>
          <w:p>
            <w:pPr>
              <w:pStyle w:val="Compact"/>
            </w:pPr>
            <w:r>
              <w:t xml:space="preserve">Log Units</w:t>
            </w:r>
          </w:p>
        </w:tc>
      </w:tr>
      <w:tr>
        <w:tc>
          <w:tcPr/>
          <w:p>
            <w:pPr>
              <w:pStyle w:val="Compact"/>
            </w:pPr>
            <w:r>
              <w:rPr>
                <w:rStyle w:val="VerbatimChar"/>
              </w:rPr>
              <w:t xml:space="preserve">Plasma Clearance</w:t>
            </w:r>
          </w:p>
        </w:tc>
        <w:tc>
          <w:tcPr/>
          <w:p>
            <w:pPr>
              <w:pStyle w:val="Compact"/>
            </w:pPr>
            <w:r>
              <w:t xml:space="preserve">1.18</w:t>
            </w:r>
          </w:p>
        </w:tc>
        <w:tc>
          <w:tcPr/>
          <w:p>
            <w:pPr>
              <w:pStyle w:val="Compact"/>
            </w:pPr>
          </w:p>
        </w:tc>
      </w:tr>
      <w:tr>
        <w:tc>
          <w:tcPr/>
          <w:p>
            <w:pPr>
              <w:pStyle w:val="Compact"/>
            </w:pPr>
            <w:r>
              <w:rPr>
                <w:rStyle w:val="VerbatimChar"/>
              </w:rPr>
              <w:t xml:space="preserve">Intestinal permeability</w:t>
            </w:r>
          </w:p>
        </w:tc>
        <w:tc>
          <w:tcPr/>
          <w:p>
            <w:pPr>
              <w:pStyle w:val="Compact"/>
            </w:pPr>
            <w:r>
              <w:t xml:space="preserve">1.35E-8</w:t>
            </w:r>
          </w:p>
        </w:tc>
        <w:tc>
          <w:tcPr/>
          <w:p>
            <w:pPr>
              <w:pStyle w:val="Compact"/>
            </w:pPr>
            <w:r>
              <w:t xml:space="preserve">cm/s</w:t>
            </w:r>
          </w:p>
        </w:tc>
      </w:tr>
      <w:tr>
        <w:tc>
          <w:tcPr/>
          <w:p>
            <w:pPr>
              <w:pStyle w:val="Compact"/>
            </w:pPr>
            <w:r>
              <w:rPr>
                <w:rStyle w:val="VerbatimChar"/>
              </w:rPr>
              <w:t xml:space="preserve">Weibull Dissolution time</w:t>
            </w:r>
          </w:p>
        </w:tc>
        <w:tc>
          <w:tcPr/>
          <w:p>
            <w:pPr>
              <w:pStyle w:val="Compact"/>
            </w:pPr>
            <w:r>
              <w:t xml:space="preserve">120</w:t>
            </w:r>
          </w:p>
        </w:tc>
        <w:tc>
          <w:tcPr/>
          <w:p>
            <w:pPr>
              <w:pStyle w:val="Compact"/>
            </w:pPr>
            <w:r>
              <w:t xml:space="preserve">min</w:t>
            </w:r>
          </w:p>
        </w:tc>
      </w:tr>
      <w:tr>
        <w:tc>
          <w:tcPr/>
          <w:p>
            <w:pPr>
              <w:pStyle w:val="Compact"/>
            </w:pPr>
            <w:r>
              <w:rPr>
                <w:rStyle w:val="VerbatimChar"/>
              </w:rPr>
              <w:t xml:space="preserve">Weibull Dissolution shape</w:t>
            </w:r>
          </w:p>
        </w:tc>
        <w:tc>
          <w:tcPr/>
          <w:p>
            <w:pPr>
              <w:pStyle w:val="Compact"/>
            </w:pPr>
            <w:r>
              <w:t xml:space="preserve">3.00</w:t>
            </w:r>
          </w:p>
        </w:tc>
        <w:tc>
          <w:tcPr/>
          <w:p>
            <w:pPr>
              <w:pStyle w:val="Compact"/>
            </w:pPr>
            <w:r>
              <w:t xml:space="preserve">-</w:t>
            </w:r>
          </w:p>
        </w:tc>
      </w:tr>
      <w:tr>
        <w:tc>
          <w:tcPr/>
          <w:p>
            <w:pPr>
              <w:pStyle w:val="Compact"/>
            </w:pPr>
            <w:r>
              <w:rPr>
                <w:rStyle w:val="VerbatimChar"/>
              </w:rPr>
              <w:t xml:space="preserve">Permeability P(intracellular-&gt;interstitial) Mucosa (large intestine)</w:t>
            </w:r>
          </w:p>
        </w:tc>
        <w:tc>
          <w:tcPr/>
          <w:p>
            <w:pPr>
              <w:pStyle w:val="Compact"/>
            </w:pPr>
            <w:r>
              <w:t xml:space="preserve">8.1132E-6</w:t>
            </w:r>
          </w:p>
        </w:tc>
        <w:tc>
          <w:tcPr/>
          <w:p>
            <w:pPr>
              <w:pStyle w:val="Compact"/>
            </w:pPr>
            <w:r>
              <w:t xml:space="preserve">cm/min</w:t>
            </w:r>
          </w:p>
        </w:tc>
      </w:tr>
      <w:tr>
        <w:tc>
          <w:tcPr/>
          <w:p>
            <w:pPr>
              <w:pStyle w:val="Compact"/>
            </w:pPr>
            <w:r>
              <w:rPr>
                <w:rStyle w:val="VerbatimChar"/>
              </w:rPr>
              <w:t xml:space="preserve">Permeability P(intracellular-&gt;interstitial) Mucosa (small intestine)</w:t>
            </w:r>
          </w:p>
        </w:tc>
        <w:tc>
          <w:tcPr/>
          <w:p>
            <w:pPr>
              <w:pStyle w:val="Compact"/>
            </w:pPr>
            <w:r>
              <w:t xml:space="preserve">3E-09</w:t>
            </w:r>
          </w:p>
        </w:tc>
        <w:tc>
          <w:tcPr/>
          <w:p>
            <w:pPr>
              <w:pStyle w:val="Compact"/>
            </w:pPr>
            <w:r>
              <w:t xml:space="preserve">cm/min</w:t>
            </w:r>
          </w:p>
        </w:tc>
      </w:tr>
    </w:tbl>
    <w:bookmarkEnd w:id="31"/>
    <w:bookmarkEnd w:id="32"/>
    <w:bookmarkEnd w:id="33"/>
    <w:bookmarkStart w:id="73"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Lisinopril was developed and verified with clinical pharmacokinetic data.</w:t>
      </w:r>
    </w:p>
    <w:p>
      <w:pPr>
        <w:pStyle w:val="BodyText"/>
      </w:pPr>
      <w:r>
        <w:t xml:space="preserve">The model was evaluated covering data from studies including in particular</w:t>
      </w:r>
    </w:p>
    <w:p>
      <w:pPr>
        <w:pStyle w:val="Compact"/>
        <w:numPr>
          <w:ilvl w:val="0"/>
          <w:numId w:val="1002"/>
        </w:numPr>
      </w:pPr>
      <w:r>
        <w:t xml:space="preserve">Intravenous Bolus</w:t>
      </w:r>
    </w:p>
    <w:p>
      <w:pPr>
        <w:pStyle w:val="Compact"/>
        <w:numPr>
          <w:ilvl w:val="0"/>
          <w:numId w:val="1002"/>
        </w:numPr>
      </w:pPr>
      <w:r>
        <w:t xml:space="preserve">Oral administration over fed and fasted states.</w:t>
      </w:r>
    </w:p>
    <w:p>
      <w:pPr>
        <w:pStyle w:val="FirstParagraph"/>
      </w:pPr>
      <w:r>
        <w:t xml:space="preserve">The next sections show:</w:t>
      </w:r>
    </w:p>
    <w:p>
      <w:pPr>
        <w:pStyle w:val="Compact"/>
        <w:numPr>
          <w:ilvl w:val="0"/>
          <w:numId w:val="1003"/>
        </w:numPr>
      </w:pPr>
      <w:r>
        <w:t xml:space="preserve">the final model parameters for the building blocks:</w:t>
      </w:r>
      <w:r>
        <w:t xml:space="preserve"> </w:t>
      </w:r>
      <w:hyperlink w:anchor="final-input-parameters">
        <w:r>
          <w:rPr>
            <w:rStyle w:val="Hyperlink"/>
          </w:rPr>
          <w:t xml:space="preserve">Section 3.1</w:t>
        </w:r>
      </w:hyperlink>
      <w:r>
        <w:t xml:space="preserve">.</w:t>
      </w:r>
    </w:p>
    <w:p>
      <w:pPr>
        <w:pStyle w:val="Compact"/>
        <w:numPr>
          <w:ilvl w:val="0"/>
          <w:numId w:val="1003"/>
        </w:numPr>
      </w:pPr>
      <w:r>
        <w:t xml:space="preserve">the overall goodness of fit:</w:t>
      </w:r>
      <w:r>
        <w:t xml:space="preserve"> </w:t>
      </w:r>
      <w:hyperlink w:anchor="diagnostics-plots">
        <w:r>
          <w:rPr>
            <w:rStyle w:val="Hyperlink"/>
          </w:rPr>
          <w:t xml:space="preserve">Section 3.2</w:t>
        </w:r>
      </w:hyperlink>
      <w:r>
        <w:t xml:space="preserve">.</w:t>
      </w:r>
    </w:p>
    <w:p>
      <w:pPr>
        <w:pStyle w:val="Compact"/>
        <w:numPr>
          <w:ilvl w:val="0"/>
          <w:numId w:val="1003"/>
        </w:numPr>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bookmarkStart w:id="40"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39" w:name="compound-lisinopril"/>
    <w:p>
      <w:pPr>
        <w:pStyle w:val="Heading3"/>
      </w:pPr>
      <w:r>
        <w:t xml:space="preserve">Compound: Lisinopril</w:t>
      </w:r>
    </w:p>
    <w:bookmarkStart w:id="34" w:name="parameters"/>
    <w:p>
      <w:pPr>
        <w:pStyle w:val="Heading4"/>
      </w:pPr>
      <w:r>
        <w:t xml:space="preserve">Parameters</w:t>
      </w:r>
    </w:p>
    <w:tbl>
      <w:tblPr>
        <w:tblStyle w:val="Table"/>
        <w:tblW w:type="pct" w:w="5000"/>
        <w:tblLayout w:type="fixed"/>
        <w:tblLook w:firstRow="1" w:lastRow="0" w:firstColumn="0" w:lastColumn="0" w:noHBand="0" w:noVBand="0" w:val="0020"/>
      </w:tblPr>
      <w:tblGrid>
        <w:gridCol w:w="1663"/>
        <w:gridCol w:w="910"/>
        <w:gridCol w:w="4633"/>
        <w:gridCol w:w="435"/>
        <w:gridCol w:w="277"/>
      </w:tblGrid>
      <w:tr>
        <w:trPr>
          <w:tblHeader w:val="on"/>
        </w:trPr>
        <w:tc>
          <w:tcPr/>
          <w:p>
            <w:pPr>
              <w:pStyle w:val="Compact"/>
            </w:pPr>
            <w:r>
              <w:t xml:space="preserve">Name</w:t>
            </w:r>
          </w:p>
        </w:tc>
        <w:tc>
          <w:tcPr/>
          <w:p>
            <w:pPr>
              <w:pStyle w:val="Compact"/>
            </w:pPr>
            <w:r>
              <w:t xml:space="preserve">Value</w:t>
            </w:r>
          </w:p>
        </w:tc>
        <w:tc>
          <w:tcPr/>
          <w:p>
            <w:pPr>
              <w:pStyle w:val="Compact"/>
            </w:pPr>
            <w:r>
              <w:t xml:space="preserve">Value Origin</w:t>
            </w:r>
          </w:p>
        </w:tc>
        <w:tc>
          <w:tcPr/>
          <w:p>
            <w:pPr>
              <w:pStyle w:val="Compact"/>
            </w:pPr>
            <w:r>
              <w:t xml:space="preserve">Alternative</w:t>
            </w:r>
          </w:p>
        </w:tc>
        <w:tc>
          <w:tcPr/>
          <w:p>
            <w:pPr>
              <w:pStyle w:val="Compact"/>
            </w:pPr>
            <w:r>
              <w:t xml:space="preserve">Default</w:t>
            </w:r>
          </w:p>
        </w:tc>
      </w:tr>
      <w:tr>
        <w:tc>
          <w:tcPr/>
          <w:p>
            <w:pPr>
              <w:pStyle w:val="Compact"/>
            </w:pPr>
            <w:r>
              <w:t xml:space="preserve">Solubility at reference pH</w:t>
            </w:r>
          </w:p>
        </w:tc>
        <w:tc>
          <w:tcPr/>
          <w:p>
            <w:pPr>
              <w:pStyle w:val="Compact"/>
            </w:pPr>
            <w:r>
              <w:t xml:space="preserve">1000 mg/l</w:t>
            </w:r>
          </w:p>
        </w:tc>
        <w:tc>
          <w:tcPr/>
          <w:p>
            <w:pPr>
              <w:pStyle w:val="Compact"/>
            </w:pPr>
          </w:p>
        </w:tc>
        <w:tc>
          <w:tcPr/>
          <w:p>
            <w:pPr>
              <w:pStyle w:val="Compact"/>
            </w:pPr>
            <w:r>
              <w:t xml:space="preserve">Measurement</w:t>
            </w:r>
          </w:p>
        </w:tc>
        <w:tc>
          <w:tcPr/>
          <w:p>
            <w:pPr>
              <w:pStyle w:val="Compact"/>
            </w:pPr>
            <w:r>
              <w:t xml:space="preserve">True</w:t>
            </w:r>
          </w:p>
        </w:tc>
      </w:tr>
      <w:tr>
        <w:tc>
          <w:tcPr/>
          <w:p>
            <w:pPr>
              <w:pStyle w:val="Compact"/>
            </w:pPr>
            <w:r>
              <w:t xml:space="preserve">Reference pH</w:t>
            </w:r>
          </w:p>
        </w:tc>
        <w:tc>
          <w:tcPr/>
          <w:p>
            <w:pPr>
              <w:pStyle w:val="Compact"/>
            </w:pPr>
            <w:r>
              <w:t xml:space="preserve">7.2</w:t>
            </w:r>
          </w:p>
        </w:tc>
        <w:tc>
          <w:tcPr/>
          <w:p>
            <w:pPr>
              <w:pStyle w:val="Compact"/>
            </w:pPr>
          </w:p>
        </w:tc>
        <w:tc>
          <w:tcPr/>
          <w:p>
            <w:pPr>
              <w:pStyle w:val="Compact"/>
            </w:pPr>
            <w:r>
              <w:t xml:space="preserve">Measurement</w:t>
            </w:r>
          </w:p>
        </w:tc>
        <w:tc>
          <w:tcPr/>
          <w:p>
            <w:pPr>
              <w:pStyle w:val="Compact"/>
            </w:pPr>
            <w:r>
              <w:t xml:space="preserve">True</w:t>
            </w:r>
          </w:p>
        </w:tc>
      </w:tr>
      <w:tr>
        <w:tc>
          <w:tcPr/>
          <w:p>
            <w:pPr>
              <w:pStyle w:val="Compact"/>
            </w:pPr>
            <w:r>
              <w:t xml:space="preserve">Lipophilicity</w:t>
            </w:r>
          </w:p>
        </w:tc>
        <w:tc>
          <w:tcPr/>
          <w:p>
            <w:pPr>
              <w:pStyle w:val="Compact"/>
            </w:pPr>
            <w:r>
              <w:t xml:space="preserve">-0.5781319594 Log Units</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c>
          <w:tcPr/>
          <w:p>
            <w:pPr>
              <w:pStyle w:val="Compact"/>
            </w:pPr>
            <w:r>
              <w:t xml:space="preserve">Measurement</w:t>
            </w:r>
          </w:p>
        </w:tc>
        <w:tc>
          <w:tcPr/>
          <w:p>
            <w:pPr>
              <w:pStyle w:val="Compact"/>
            </w:pPr>
            <w:r>
              <w:t xml:space="preserve">True</w:t>
            </w:r>
          </w:p>
        </w:tc>
      </w:tr>
      <w:tr>
        <w:tc>
          <w:tcPr/>
          <w:p>
            <w:pPr>
              <w:pStyle w:val="Compact"/>
            </w:pPr>
            <w:r>
              <w:t xml:space="preserve">Fraction unbound (plasma, reference value)</w:t>
            </w:r>
          </w:p>
        </w:tc>
        <w:tc>
          <w:tcPr/>
          <w:p>
            <w:pPr>
              <w:pStyle w:val="Compact"/>
            </w:pPr>
            <w:r>
              <w:t xml:space="preserve">1</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c>
          <w:tcPr/>
          <w:p>
            <w:pPr>
              <w:pStyle w:val="Compact"/>
            </w:pPr>
            <w:r>
              <w:t xml:space="preserve">Measurement</w:t>
            </w:r>
          </w:p>
        </w:tc>
        <w:tc>
          <w:tcPr/>
          <w:p>
            <w:pPr>
              <w:pStyle w:val="Compact"/>
            </w:pPr>
            <w:r>
              <w:t xml:space="preserve">True</w:t>
            </w:r>
          </w:p>
        </w:tc>
      </w:tr>
      <w:tr>
        <w:tc>
          <w:tcPr/>
          <w:p>
            <w:pPr>
              <w:pStyle w:val="Compact"/>
            </w:pPr>
            <w:r>
              <w:t xml:space="preserve">Is small molecule</w:t>
            </w:r>
          </w:p>
        </w:tc>
        <w:tc>
          <w:tcPr/>
          <w:p>
            <w:pPr>
              <w:pStyle w:val="Compact"/>
            </w:pPr>
            <w:r>
              <w:t xml:space="preserve">Yes</w:t>
            </w:r>
          </w:p>
        </w:tc>
        <w:tc>
          <w:tcPr/>
          <w:p>
            <w:pPr>
              <w:pStyle w:val="Compact"/>
            </w:pPr>
          </w:p>
        </w:tc>
        <w:tc>
          <w:tcPr/>
          <w:p>
            <w:pPr>
              <w:pStyle w:val="Compact"/>
            </w:pPr>
          </w:p>
        </w:tc>
        <w:tc>
          <w:tcPr/>
          <w:p>
            <w:pPr>
              <w:pStyle w:val="Compact"/>
            </w:pPr>
          </w:p>
        </w:tc>
      </w:tr>
      <w:tr>
        <w:tc>
          <w:tcPr/>
          <w:p>
            <w:pPr>
              <w:pStyle w:val="Compact"/>
            </w:pPr>
            <w:r>
              <w:t xml:space="preserve">Molecular weight</w:t>
            </w:r>
          </w:p>
        </w:tc>
        <w:tc>
          <w:tcPr/>
          <w:p>
            <w:pPr>
              <w:pStyle w:val="Compact"/>
            </w:pPr>
            <w:r>
              <w:t xml:space="preserve">405.5 g/mol</w:t>
            </w:r>
          </w:p>
        </w:tc>
        <w:tc>
          <w:tcPr/>
          <w:p>
            <w:pPr>
              <w:pStyle w:val="Compact"/>
            </w:pPr>
          </w:p>
        </w:tc>
        <w:tc>
          <w:tcPr/>
          <w:p>
            <w:pPr>
              <w:pStyle w:val="Compact"/>
            </w:pPr>
          </w:p>
        </w:tc>
        <w:tc>
          <w:tcPr/>
          <w:p>
            <w:pPr>
              <w:pStyle w:val="Compact"/>
            </w:pPr>
          </w:p>
        </w:tc>
      </w:tr>
      <w:tr>
        <w:tc>
          <w:tcPr/>
          <w:p>
            <w:pPr>
              <w:pStyle w:val="Compact"/>
            </w:pPr>
            <w:r>
              <w:t xml:space="preserve">Plasma protein binding partner</w:t>
            </w:r>
          </w:p>
        </w:tc>
        <w:tc>
          <w:tcPr/>
          <w:p>
            <w:pPr>
              <w:pStyle w:val="Compact"/>
            </w:pPr>
            <w:r>
              <w:t xml:space="preserve">Albumin</w:t>
            </w:r>
          </w:p>
        </w:tc>
        <w:tc>
          <w:tcPr/>
          <w:p>
            <w:pPr>
              <w:pStyle w:val="Compact"/>
            </w:pPr>
          </w:p>
        </w:tc>
        <w:tc>
          <w:tcPr/>
          <w:p>
            <w:pPr>
              <w:pStyle w:val="Compact"/>
            </w:pPr>
          </w:p>
        </w:tc>
        <w:tc>
          <w:tcPr/>
          <w:p>
            <w:pPr>
              <w:pStyle w:val="Compact"/>
            </w:pPr>
          </w:p>
        </w:tc>
      </w:tr>
    </w:tbl>
    <w:bookmarkEnd w:id="34"/>
    <w:bookmarkStart w:id="35" w:name="calculation-methods"/>
    <w:p>
      <w:pPr>
        <w:pStyle w:val="Heading4"/>
      </w:pPr>
      <w:r>
        <w:t xml:space="preserve">Calculation methods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Name</w:t>
            </w:r>
          </w:p>
        </w:tc>
        <w:tc>
          <w:tcPr/>
          <w:p>
            <w:pPr>
              <w:pStyle w:val="Compact"/>
            </w:pPr>
            <w:r>
              <w:t xml:space="preserve">Value</w:t>
            </w:r>
          </w:p>
        </w:tc>
      </w:tr>
      <w:tr>
        <w:tc>
          <w:tcPr/>
          <w:p>
            <w:pPr>
              <w:pStyle w:val="Compact"/>
            </w:pPr>
            <w:r>
              <w:t xml:space="preserve">Partition coefficients</w:t>
            </w:r>
          </w:p>
        </w:tc>
        <w:tc>
          <w:tcPr/>
          <w:p>
            <w:pPr>
              <w:pStyle w:val="Compact"/>
            </w:pPr>
            <w:r>
              <w:t xml:space="preserve">Schmitt</w:t>
            </w:r>
          </w:p>
        </w:tc>
      </w:tr>
      <w:tr>
        <w:tc>
          <w:tcPr/>
          <w:p>
            <w:pPr>
              <w:pStyle w:val="Compact"/>
            </w:pPr>
            <w:r>
              <w:t xml:space="preserve">Cellular permeabilities</w:t>
            </w:r>
          </w:p>
        </w:tc>
        <w:tc>
          <w:tcPr/>
          <w:p>
            <w:pPr>
              <w:pStyle w:val="Compact"/>
            </w:pPr>
            <w:r>
              <w:t xml:space="preserve">Charge dependent Schmitt</w:t>
            </w:r>
          </w:p>
        </w:tc>
      </w:tr>
    </w:tbl>
    <w:bookmarkEnd w:id="35"/>
    <w:bookmarkStart w:id="38" w:name="processes"/>
    <w:p>
      <w:pPr>
        <w:pStyle w:val="Heading4"/>
      </w:pPr>
      <w:r>
        <w:t xml:space="preserve">Processes</w:t>
      </w:r>
    </w:p>
    <w:bookmarkStart w:id="37" w:name="X2e05a117fe9daef0949a1f619c3dd58c0d0827b"/>
    <w:p>
      <w:pPr>
        <w:pStyle w:val="Heading5"/>
      </w:pPr>
      <w:r>
        <w:t xml:space="preserve">Systemic Process: Renal Clearances-Renal Clearance</w:t>
      </w:r>
    </w:p>
    <w:p>
      <w:pPr>
        <w:pStyle w:val="FirstParagraph"/>
      </w:pPr>
      <w:r>
        <w:t xml:space="preserve">Species: Human</w:t>
      </w:r>
    </w:p>
    <w:bookmarkStart w:id="36" w:name="parameters-1"/>
    <w:p>
      <w:pPr>
        <w:pStyle w:val="Heading6"/>
      </w:pPr>
      <w:r>
        <w:t xml:space="preserve">Parameters</w:t>
      </w:r>
    </w:p>
    <w:tbl>
      <w:tblPr>
        <w:tblStyle w:val="Table"/>
        <w:tblW w:type="pct" w:w="5000"/>
        <w:tblLayout w:type="fixed"/>
        <w:tblLook w:firstRow="1" w:lastRow="0" w:firstColumn="0" w:lastColumn="0" w:noHBand="0" w:noVBand="0" w:val="0020"/>
      </w:tblPr>
      <w:tblGrid>
        <w:gridCol w:w="1435"/>
        <w:gridCol w:w="693"/>
        <w:gridCol w:w="5791"/>
      </w:tblGrid>
      <w:tr>
        <w:trPr>
          <w:tblHeader w:val="on"/>
        </w:trPr>
        <w:tc>
          <w:tcPr/>
          <w:p>
            <w:pPr>
              <w:pStyle w:val="Compact"/>
            </w:pPr>
            <w:r>
              <w:t xml:space="preserve">Name</w:t>
            </w:r>
          </w:p>
        </w:tc>
        <w:tc>
          <w:tcPr/>
          <w:p>
            <w:pPr>
              <w:pStyle w:val="Compact"/>
            </w:pPr>
            <w:r>
              <w:t xml:space="preserve">Value</w:t>
            </w:r>
          </w:p>
        </w:tc>
        <w:tc>
          <w:tcPr/>
          <w:p>
            <w:pPr>
              <w:pStyle w:val="Compact"/>
            </w:pPr>
            <w:r>
              <w:t xml:space="preserve">Value Origin</w:t>
            </w:r>
          </w:p>
        </w:tc>
      </w:tr>
      <w:tr>
        <w:tc>
          <w:tcPr/>
          <w:p>
            <w:pPr>
              <w:pStyle w:val="Compact"/>
            </w:pPr>
            <w:r>
              <w:t xml:space="preserve">Fraction unbound (experiment)</w:t>
            </w:r>
          </w:p>
        </w:tc>
        <w:tc>
          <w:tcPr/>
          <w:p>
            <w:pPr>
              <w:pStyle w:val="Compact"/>
            </w:pPr>
            <w:r>
              <w:t xml:space="preserve">1</w:t>
            </w:r>
          </w:p>
        </w:tc>
        <w:tc>
          <w:tcPr/>
          <w:p>
            <w:pPr>
              <w:pStyle w:val="Compact"/>
            </w:pPr>
          </w:p>
        </w:tc>
      </w:tr>
      <w:tr>
        <w:tc>
          <w:tcPr/>
          <w:p>
            <w:pPr>
              <w:pStyle w:val="Compact"/>
            </w:pPr>
            <w:r>
              <w:t xml:space="preserve">Plasma clearance</w:t>
            </w:r>
          </w:p>
        </w:tc>
        <w:tc>
          <w:tcPr/>
          <w:p>
            <w:pPr>
              <w:pStyle w:val="Compact"/>
            </w:pPr>
            <w:r>
              <w:t xml:space="preserve">1.18 ml/min/kg</w:t>
            </w:r>
          </w:p>
        </w:tc>
        <w:tc>
          <w:tcPr/>
          <w:p>
            <w:pPr>
              <w:pStyle w:val="Compact"/>
            </w:pPr>
            <w:r>
              <w:t xml:space="preserve">Parameter Identification-Parameter Identification-Value updated from</w:t>
            </w:r>
            <w:r>
              <w:t xml:space="preserve"> </w:t>
            </w:r>
            <w:r>
              <w:t xml:space="preserve">‘Parameter Identification 4’</w:t>
            </w:r>
            <w:r>
              <w:t xml:space="preserve"> </w:t>
            </w:r>
            <w:r>
              <w:t xml:space="preserve">on 2025-01-23 23:53</w:t>
            </w:r>
          </w:p>
        </w:tc>
      </w:tr>
    </w:tbl>
    <w:bookmarkEnd w:id="36"/>
    <w:bookmarkEnd w:id="37"/>
    <w:bookmarkEnd w:id="38"/>
    <w:bookmarkEnd w:id="39"/>
    <w:bookmarkEnd w:id="40"/>
    <w:bookmarkStart w:id="47"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clinical-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
          <w:bCs/>
        </w:rPr>
        <w:t xml:space="preserve">Table 3-1: GMFE for Goodness of fit plot for concentration in plasma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Lisinopril Intravenous Administration (model building)</w:t>
            </w:r>
          </w:p>
        </w:tc>
        <w:tc>
          <w:tcPr/>
          <w:p>
            <w:pPr>
              <w:pStyle w:val="Compact"/>
              <w:jc w:val="left"/>
            </w:pPr>
            <w:r>
              <w:t xml:space="preserve">1.46</w:t>
            </w:r>
          </w:p>
        </w:tc>
      </w:tr>
      <w:tr>
        <w:tc>
          <w:tcPr/>
          <w:p>
            <w:pPr>
              <w:pStyle w:val="Compact"/>
              <w:jc w:val="left"/>
            </w:pPr>
            <w:r>
              <w:t xml:space="preserve">Lisinopril Oral Administration (model building)</w:t>
            </w:r>
          </w:p>
        </w:tc>
        <w:tc>
          <w:tcPr/>
          <w:p>
            <w:pPr>
              <w:pStyle w:val="Compact"/>
              <w:jc w:val="left"/>
            </w:pPr>
            <w:r>
              <w:t xml:space="preserve">1.31</w:t>
            </w:r>
          </w:p>
        </w:tc>
      </w:tr>
      <w:tr>
        <w:tc>
          <w:tcPr/>
          <w:p>
            <w:pPr>
              <w:pStyle w:val="Compact"/>
              <w:jc w:val="left"/>
            </w:pPr>
            <w:r>
              <w:t xml:space="preserve">Lisinopril Oral Administration (model verification)</w:t>
            </w:r>
          </w:p>
        </w:tc>
        <w:tc>
          <w:tcPr/>
          <w:p>
            <w:pPr>
              <w:pStyle w:val="Compact"/>
              <w:jc w:val="left"/>
            </w:pPr>
            <w:r>
              <w:t xml:space="preserve">1.84</w:t>
            </w:r>
          </w:p>
        </w:tc>
      </w:tr>
      <w:tr>
        <w:tc>
          <w:tcPr/>
          <w:p>
            <w:pPr>
              <w:pStyle w:val="Compact"/>
              <w:jc w:val="left"/>
            </w:pPr>
            <w:r>
              <w:t xml:space="preserve">All</w:t>
            </w:r>
          </w:p>
        </w:tc>
        <w:tc>
          <w:tcPr/>
          <w:p>
            <w:pPr>
              <w:pStyle w:val="Compact"/>
              <w:jc w:val="left"/>
            </w:pPr>
            <w:r>
              <w:t xml:space="preserve">1.56</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7406865"/>
            <wp:effectExtent b="0" l="0" r="0" t="0"/>
            <wp:docPr descr="" title="" id="42" name="Picture"/>
            <a:graphic>
              <a:graphicData uri="http://schemas.openxmlformats.org/drawingml/2006/picture">
                <pic:pic>
                  <pic:nvPicPr>
                    <pic:cNvPr descr="images/006_section_results-and-discussion/008_section_diagnostics-plots/2_gof_plot_predictedVsObserved.png" id="43" name="Picture"/>
                    <pic:cNvPicPr>
                      <a:picLocks noChangeArrowheads="1" noChangeAspect="1"/>
                    </pic:cNvPicPr>
                  </pic:nvPicPr>
                  <pic:blipFill>
                    <a:blip r:embed="rId41"/>
                    <a:stretch>
                      <a:fillRect/>
                    </a:stretch>
                  </pic:blipFill>
                  <pic:spPr bwMode="auto">
                    <a:xfrm>
                      <a:off x="0" y="0"/>
                      <a:ext cx="5969000" cy="7406865"/>
                    </a:xfrm>
                    <a:prstGeom prst="rect">
                      <a:avLst/>
                    </a:prstGeom>
                    <a:noFill/>
                    <a:ln w="9525">
                      <a:noFill/>
                      <a:headEnd/>
                      <a:tailEnd/>
                    </a:ln>
                  </pic:spPr>
                </pic:pic>
              </a:graphicData>
            </a:graphic>
          </wp:inline>
        </w:drawing>
      </w:r>
    </w:p>
    <w:p>
      <w:pPr>
        <w:pStyle w:val="BodyText"/>
      </w:pPr>
      <w:r>
        <w:rPr>
          <w:b/>
          <w:bCs/>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5114239"/>
            <wp:effectExtent b="0" l="0" r="0" t="0"/>
            <wp:docPr descr="" title="" id="45" name="Picture"/>
            <a:graphic>
              <a:graphicData uri="http://schemas.openxmlformats.org/drawingml/2006/picture">
                <pic:pic>
                  <pic:nvPicPr>
                    <pic:cNvPr descr="images/006_section_results-and-discussion/008_section_diagnostics-plots/3_gof_plot_residualsOverTime.png" id="46" name="Picture"/>
                    <pic:cNvPicPr>
                      <a:picLocks noChangeArrowheads="1" noChangeAspect="1"/>
                    </pic:cNvPicPr>
                  </pic:nvPicPr>
                  <pic:blipFill>
                    <a:blip r:embed="rId44"/>
                    <a:stretch>
                      <a:fillRect/>
                    </a:stretch>
                  </pic:blipFill>
                  <pic:spPr bwMode="auto">
                    <a:xfrm>
                      <a:off x="0" y="0"/>
                      <a:ext cx="5969000" cy="5114239"/>
                    </a:xfrm>
                    <a:prstGeom prst="rect">
                      <a:avLst/>
                    </a:prstGeom>
                    <a:noFill/>
                    <a:ln w="9525">
                      <a:noFill/>
                      <a:headEnd/>
                      <a:tailEnd/>
                    </a:ln>
                  </pic:spPr>
                </pic:pic>
              </a:graphicData>
            </a:graphic>
          </wp:inline>
        </w:drawing>
      </w:r>
    </w:p>
    <w:p>
      <w:pPr>
        <w:pStyle w:val="BodyText"/>
      </w:pPr>
      <w:r>
        <w:rPr>
          <w:b/>
          <w:bCs/>
        </w:rPr>
        <w:t xml:space="preserve">Figure 3-2: Goodness of fit plot for concentration in plasma</w:t>
      </w:r>
    </w:p>
    <w:p>
      <w:pPr>
        <w:pStyle w:val="BodyText"/>
      </w:pPr>
      <w:r>
        <w:t xml:space="preserve"> </w:t>
      </w:r>
    </w:p>
    <w:bookmarkEnd w:id="47"/>
    <w:bookmarkStart w:id="72"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clinical-data">
        <w:r>
          <w:rPr>
            <w:rStyle w:val="Hyperlink"/>
          </w:rPr>
          <w:t xml:space="preserve">Section 2.2.2</w:t>
        </w:r>
      </w:hyperlink>
      <w:r>
        <w:t xml:space="preserve"> </w:t>
      </w:r>
      <w:r>
        <w:t xml:space="preserve">are presented below.</w:t>
      </w:r>
    </w:p>
    <w:br w:type="page"/>
    <w:p>
      <w:pPr>
        <w:pStyle w:val="BodyText"/>
      </w:pPr>
      <w:bookmarkStart w:id="figure-3-3" w:name="figure-3-3"/>
      <w:bookmarkEnd w:id="figure-3-3"/>
    </w:p>
    <w:p>
      <w:pPr>
        <w:pStyle w:val="BodyText"/>
      </w:pPr>
      <w:r>
        <w:drawing>
          <wp:inline>
            <wp:extent cx="5969000" cy="4584192"/>
            <wp:effectExtent b="0" l="0" r="0" t="0"/>
            <wp:docPr descr="" title="" id="49" name="Picture"/>
            <a:graphic>
              <a:graphicData uri="http://schemas.openxmlformats.org/drawingml/2006/picture">
                <pic:pic>
                  <pic:nvPicPr>
                    <pic:cNvPr descr="images/006_section_results-and-discussion/009_section_ct-profiles/1_time_profile_plot_Lisinopril_Beermann_IV_Bolus_10_56mg.png" id="50" name="Picture"/>
                    <pic:cNvPicPr>
                      <a:picLocks noChangeArrowheads="1" noChangeAspect="1"/>
                    </pic:cNvPicPr>
                  </pic:nvPicPr>
                  <pic:blipFill>
                    <a:blip r:embed="rId48"/>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584192"/>
            <wp:effectExtent b="0" l="0" r="0" t="0"/>
            <wp:docPr descr="" title="" id="52" name="Picture"/>
            <a:graphic>
              <a:graphicData uri="http://schemas.openxmlformats.org/drawingml/2006/picture">
                <pic:pic>
                  <pic:nvPicPr>
                    <pic:cNvPr descr="images/006_section_results-and-discussion/009_section_ct-profiles/2_time_profile_plot_Lisinopril_Beermann_IV_Bolus_2_64mg.png" id="53" name="Picture"/>
                    <pic:cNvPicPr>
                      <a:picLocks noChangeArrowheads="1" noChangeAspect="1"/>
                    </pic:cNvPicPr>
                  </pic:nvPicPr>
                  <pic:blipFill>
                    <a:blip r:embed="rId51"/>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84192"/>
            <wp:effectExtent b="0" l="0" r="0" t="0"/>
            <wp:docPr descr="" title="" id="55" name="Picture"/>
            <a:graphic>
              <a:graphicData uri="http://schemas.openxmlformats.org/drawingml/2006/picture">
                <pic:pic>
                  <pic:nvPicPr>
                    <pic:cNvPr descr="images/006_section_results-and-discussion/009_section_ct-profiles/3_time_profile_plot_Lisinopril_Beermann_IV_Bolus_5_28mg.png" id="56" name="Picture"/>
                    <pic:cNvPicPr>
                      <a:picLocks noChangeArrowheads="1" noChangeAspect="1"/>
                    </pic:cNvPicPr>
                  </pic:nvPicPr>
                  <pic:blipFill>
                    <a:blip r:embed="rId54"/>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999634"/>
            <wp:effectExtent b="0" l="0" r="0" t="0"/>
            <wp:docPr descr="" title="" id="58" name="Picture"/>
            <a:graphic>
              <a:graphicData uri="http://schemas.openxmlformats.org/drawingml/2006/picture">
                <pic:pic>
                  <pic:nvPicPr>
                    <pic:cNvPr descr="images/006_section_results-and-discussion/009_section_ct-profiles/4_time_profile_plot_Lisinopril_Beermann_PO_repeated_20mg.png" id="59" name="Picture"/>
                    <pic:cNvPicPr>
                      <a:picLocks noChangeArrowheads="1" noChangeAspect="1"/>
                    </pic:cNvPicPr>
                  </pic:nvPicPr>
                  <pic:blipFill>
                    <a:blip r:embed="rId57"/>
                    <a:stretch>
                      <a:fillRect/>
                    </a:stretch>
                  </pic:blipFill>
                  <pic:spPr bwMode="auto">
                    <a:xfrm>
                      <a:off x="0" y="0"/>
                      <a:ext cx="5969000" cy="4999634"/>
                    </a:xfrm>
                    <a:prstGeom prst="rect">
                      <a:avLst/>
                    </a:prstGeom>
                    <a:noFill/>
                    <a:ln w="9525">
                      <a:noFill/>
                      <a:headEnd/>
                      <a:tailEnd/>
                    </a:ln>
                  </pic:spPr>
                </pic:pic>
              </a:graphicData>
            </a:graphic>
          </wp:inline>
        </w:drawing>
      </w:r>
    </w:p>
    <w:p>
      <w:pPr>
        <w:pStyle w:val="BodyText"/>
      </w:pPr>
      <w:r>
        <w:rPr>
          <w:b/>
          <w:bCs/>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5171541"/>
            <wp:effectExtent b="0" l="0" r="0" t="0"/>
            <wp:docPr descr="" title="" id="61" name="Picture"/>
            <a:graphic>
              <a:graphicData uri="http://schemas.openxmlformats.org/drawingml/2006/picture">
                <pic:pic>
                  <pic:nvPicPr>
                    <pic:cNvPr descr="images/006_section_results-and-discussion/009_section_ct-profiles/5_time_profile_plot_Lisinopril_Gautam_PO_5mg.png" id="62" name="Picture"/>
                    <pic:cNvPicPr>
                      <a:picLocks noChangeArrowheads="1" noChangeAspect="1"/>
                    </pic:cNvPicPr>
                  </pic:nvPicPr>
                  <pic:blipFill>
                    <a:blip r:embed="rId60"/>
                    <a:stretch>
                      <a:fillRect/>
                    </a:stretch>
                  </pic:blipFill>
                  <pic:spPr bwMode="auto">
                    <a:xfrm>
                      <a:off x="0" y="0"/>
                      <a:ext cx="5969000" cy="5171541"/>
                    </a:xfrm>
                    <a:prstGeom prst="rect">
                      <a:avLst/>
                    </a:prstGeom>
                    <a:noFill/>
                    <a:ln w="9525">
                      <a:noFill/>
                      <a:headEnd/>
                      <a:tailEnd/>
                    </a:ln>
                  </pic:spPr>
                </pic:pic>
              </a:graphicData>
            </a:graphic>
          </wp:inline>
        </w:drawing>
      </w:r>
    </w:p>
    <w:p>
      <w:pPr>
        <w:pStyle w:val="BodyText"/>
      </w:pPr>
      <w:r>
        <w:rPr>
          <w:b/>
          <w:bCs/>
        </w:rPr>
        <w:t xml:space="preserve">Figure 3-7: Time Profile Analysis</w:t>
      </w:r>
    </w:p>
    <w:p>
      <w:pPr>
        <w:pStyle w:val="BodyText"/>
      </w:pPr>
      <w:r>
        <w:t xml:space="preserve"> </w:t>
      </w:r>
    </w:p>
    <w:br w:type="page"/>
    <w:p>
      <w:pPr>
        <w:pStyle w:val="BodyText"/>
      </w:pPr>
      <w:bookmarkStart w:id="figure-3-8" w:name="figure-3-8"/>
      <w:bookmarkEnd w:id="figure-3-8"/>
    </w:p>
    <w:p>
      <w:pPr>
        <w:pStyle w:val="BodyText"/>
      </w:pPr>
      <w:r>
        <w:drawing>
          <wp:inline>
            <wp:extent cx="5969000" cy="4584192"/>
            <wp:effectExtent b="0" l="0" r="0" t="0"/>
            <wp:docPr descr="" title="" id="64" name="Picture"/>
            <a:graphic>
              <a:graphicData uri="http://schemas.openxmlformats.org/drawingml/2006/picture">
                <pic:pic>
                  <pic:nvPicPr>
                    <pic:cNvPr descr="images/006_section_results-and-discussion/009_section_ct-profiles/6_time_profile_plot_Lisinopril_Mojaverian_PO_fasted_20mg.png" id="65" name="Picture"/>
                    <pic:cNvPicPr>
                      <a:picLocks noChangeArrowheads="1" noChangeAspect="1"/>
                    </pic:cNvPicPr>
                  </pic:nvPicPr>
                  <pic:blipFill>
                    <a:blip r:embed="rId63"/>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584192"/>
            <wp:effectExtent b="0" l="0" r="0" t="0"/>
            <wp:docPr descr="" title="" id="67" name="Picture"/>
            <a:graphic>
              <a:graphicData uri="http://schemas.openxmlformats.org/drawingml/2006/picture">
                <pic:pic>
                  <pic:nvPicPr>
                    <pic:cNvPr descr="images/006_section_results-and-discussion/009_section_ct-profiles/7_time_profile_plot_Lisinopril_Mojaverian_PO_fed_20mg.png" id="68" name="Picture"/>
                    <pic:cNvPicPr>
                      <a:picLocks noChangeArrowheads="1" noChangeAspect="1"/>
                    </pic:cNvPicPr>
                  </pic:nvPicPr>
                  <pic:blipFill>
                    <a:blip r:embed="rId66"/>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584192"/>
            <wp:effectExtent b="0" l="0" r="0" t="0"/>
            <wp:docPr descr="" title="" id="70" name="Picture"/>
            <a:graphic>
              <a:graphicData uri="http://schemas.openxmlformats.org/drawingml/2006/picture">
                <pic:pic>
                  <pic:nvPicPr>
                    <pic:cNvPr descr="images/006_section_results-and-discussion/009_section_ct-profiles/8_time_profile_plot_Lisinopril_Ulm_PO_10mg.png" id="71" name="Picture"/>
                    <pic:cNvPicPr>
                      <a:picLocks noChangeArrowheads="1" noChangeAspect="1"/>
                    </pic:cNvPicPr>
                  </pic:nvPicPr>
                  <pic:blipFill>
                    <a:blip r:embed="rId69"/>
                    <a:stretch>
                      <a:fillRect/>
                    </a:stretch>
                  </pic:blipFill>
                  <pic:spPr bwMode="auto">
                    <a:xfrm>
                      <a:off x="0" y="0"/>
                      <a:ext cx="5969000" cy="4584192"/>
                    </a:xfrm>
                    <a:prstGeom prst="rect">
                      <a:avLst/>
                    </a:prstGeom>
                    <a:noFill/>
                    <a:ln w="9525">
                      <a:noFill/>
                      <a:headEnd/>
                      <a:tailEnd/>
                    </a:ln>
                  </pic:spPr>
                </pic:pic>
              </a:graphicData>
            </a:graphic>
          </wp:inline>
        </w:drawing>
      </w:r>
    </w:p>
    <w:p>
      <w:pPr>
        <w:pStyle w:val="BodyText"/>
      </w:pPr>
      <w:r>
        <w:rPr>
          <w:b/>
          <w:bCs/>
        </w:rPr>
        <w:t xml:space="preserve">Figure 3-10: Time Profile Analysis</w:t>
      </w:r>
    </w:p>
    <w:p>
      <w:pPr>
        <w:pStyle w:val="BodyText"/>
      </w:pPr>
      <w:r>
        <w:t xml:space="preserve"> </w:t>
      </w:r>
    </w:p>
    <w:bookmarkEnd w:id="72"/>
    <w:bookmarkEnd w:id="73"/>
    <w:bookmarkStart w:id="74" w:name="conclusion"/>
    <w:p>
      <w:pPr>
        <w:pStyle w:val="Heading1"/>
      </w:pPr>
      <w:r>
        <w:t xml:space="preserve">Conclusion</w:t>
      </w:r>
      <w:bookmarkStart w:id="conclusion" w:name="conclusion"/>
      <w:bookmarkEnd w:id="conclusion"/>
    </w:p>
    <w:p>
      <w:pPr>
        <w:pStyle w:val="FirstParagraph"/>
      </w:pPr>
      <w:r>
        <w:t xml:space="preserve">The herein presented PBPK model adequately describes the pharmacokinetics of Lisinopril in adults.</w:t>
      </w:r>
    </w:p>
    <w:bookmarkEnd w:id="74"/>
    <w:bookmarkStart w:id="75" w:name="references"/>
    <w:p>
      <w:pPr>
        <w:pStyle w:val="Heading1"/>
      </w:pPr>
      <w:r>
        <w:t xml:space="preserve">References</w:t>
      </w:r>
      <w:bookmarkStart w:id="main-references" w:name="main-references"/>
      <w:bookmarkEnd w:id="main-references"/>
    </w:p>
    <w:p>
      <w:pPr>
        <w:pStyle w:val="FirstParagraph"/>
      </w:pPr>
      <w:r>
        <w:rPr>
          <w:b/>
          <w:bCs/>
        </w:rPr>
        <w:t xml:space="preserve">Beermann 1989</w:t>
      </w:r>
      <w:r>
        <w:t xml:space="preserve"> </w:t>
      </w:r>
      <w:r>
        <w:t xml:space="preserve">Beermann B, Till A E, Gomez H J, Hichens M, Bolognese J A, Junggren I. Pharmacokinetics of lisinopril (IV/PO) in healthy volunteers.Biopharmaceutics &amp; Drug Disposition. 1989 Jul-Aug;10(4):397-409. doi: 10.1002/bdd.2510100407.</w:t>
      </w:r>
    </w:p>
    <w:p>
      <w:pPr>
        <w:pStyle w:val="BodyText"/>
      </w:pPr>
      <w:r>
        <w:rPr>
          <w:b/>
          <w:bCs/>
        </w:rPr>
        <w:t xml:space="preserve">Ulm 1982</w:t>
      </w:r>
      <w:r>
        <w:t xml:space="preserve"> </w:t>
      </w:r>
      <w:r>
        <w:t xml:space="preserve">Ulm EH, Hichens M, Gomez HJ, Till AE, Hand E, Vassil TC, Biollaz J, Brunner HR, Schelling JL. Enalapril maleate and a lysine analogue (MK-521): disposition in man. Br J Clin Pharmacol. 1982 Sep;14(3):357-62. doi: 10.1111/j.1365-2125.1982.tb01991.x.</w:t>
      </w:r>
    </w:p>
    <w:p>
      <w:pPr>
        <w:pStyle w:val="BodyText"/>
      </w:pPr>
      <w:r>
        <w:rPr>
          <w:b/>
          <w:bCs/>
        </w:rPr>
        <w:t xml:space="preserve">Gautam 1987</w:t>
      </w:r>
      <w:r>
        <w:t xml:space="preserve"> </w:t>
      </w:r>
      <w:r>
        <w:t xml:space="preserve">Gautam PC, Vargas E, Lye M. Pharmacokinetics of lisinopril (MK521) in healthy young and elderly subjects and in elderly patients with cardiac failure. J Pharm Pharmacol. 1987 Nov;39(11):929-31. doi: 10.1111/j.2042-7158.1987.tb03130.x.</w:t>
      </w:r>
    </w:p>
    <w:p>
      <w:pPr>
        <w:pStyle w:val="BodyText"/>
      </w:pPr>
      <w:r>
        <w:rPr>
          <w:b/>
          <w:bCs/>
        </w:rPr>
        <w:t xml:space="preserve">Mojaverian 1986</w:t>
      </w:r>
      <w:r>
        <w:t xml:space="preserve"> </w:t>
      </w:r>
      <w:r>
        <w:t xml:space="preserve">Mojaverian P, Rocci ML Jr, Vlasses PH, Hoholick C, Clementi RA, Ferguson RK. Effect of food on the bioavailability of lisinopril, a nonsulfhydryl angiotensin-converting enzyme inhibitor. J Pharm Sci. 1986 Apr;75(4):395-7. doi: 10.1002/jps.2600750416.</w:t>
      </w:r>
    </w:p>
    <w:p>
      <w:pPr>
        <w:pStyle w:val="BodyText"/>
      </w:pPr>
      <w:r>
        <w:rPr>
          <w:b/>
          <w:bCs/>
        </w:rPr>
        <w:t xml:space="preserve">Rashid 2020</w:t>
      </w:r>
      <w:r>
        <w:t xml:space="preserve"> </w:t>
      </w:r>
      <w:r>
        <w:t xml:space="preserve">Rashid M, Sarfraz M, Arafat M, Hussain A, Abbas N, Sadiq MW, Rasool MF, Bukhari NI. Prediction of lisinopril pediatric dose from the reference adult dose by employing a physiologically based pharmacokinetic model. BMC Pharmacol Toxicol. 2020 Jul 29;21(1):56. doi: 10.1186/s40360-020-00429-y.</w:t>
      </w:r>
    </w:p>
    <w:p>
      <w:pPr>
        <w:pStyle w:val="BodyText"/>
      </w:pPr>
      <w:r>
        <w:rPr>
          <w:b/>
          <w:bCs/>
        </w:rPr>
        <w:t xml:space="preserve">Xie 2021</w:t>
      </w:r>
      <w:r>
        <w:t xml:space="preserve"> </w:t>
      </w:r>
      <w:r>
        <w:t xml:space="preserve">Xie F, Van Bocxlaer J, Vermeulen A. Physiologically based pharmacokinetic modelling of lisinopril in children: A case story of angiotensin converting enzyme inhibitors. Br J Clin Pharmacol. 2021 Mar;87(3):1203-1214. doi: 10.1111/bcp.14492.</w:t>
      </w:r>
    </w:p>
    <w:p>
      <w:pPr>
        <w:pStyle w:val="BodyText"/>
      </w:pPr>
      <w:r>
        <w:rPr>
          <w:b/>
          <w:bCs/>
        </w:rPr>
        <w:t xml:space="preserve">Takács-Novák 2003</w:t>
      </w:r>
      <w:r>
        <w:t xml:space="preserve"> </w:t>
      </w:r>
      <w:r>
        <w:t xml:space="preserve">Takács-Novák K, Deák K, Béni S, Völgyi G. Physico-chemical Profiling of the ACE-inhibitor Lisinopril: Acid-base Properties. ADMET and DMPK. 2023;1(2):6-16. doi: 10.5599/admet.1.1.3.</w:t>
      </w:r>
    </w:p>
    <w:p>
      <w:pPr>
        <w:pStyle w:val="BodyText"/>
      </w:pPr>
      <w:r>
        <w:rPr>
          <w:b/>
          <w:bCs/>
        </w:rPr>
        <w:t xml:space="preserve">PubChem 2024</w:t>
      </w:r>
      <w:r>
        <w:t xml:space="preserve"> </w:t>
      </w:r>
      <w:r>
        <w:t xml:space="preserve">PubChem Compound Summary of Lisinopril (2024). https://pubchem.ncbi.nlm.nih.gov/compound/Lisinopril</w:t>
      </w:r>
    </w:p>
    <w:p>
      <w:pPr>
        <w:pStyle w:val="BodyText"/>
      </w:pPr>
      <w:r>
        <w:rPr>
          <w:b/>
          <w:bCs/>
        </w:rPr>
        <w:t xml:space="preserve">Cayman Chem 2022</w:t>
      </w:r>
      <w:r>
        <w:t xml:space="preserve"> </w:t>
      </w:r>
      <w:r>
        <w:t xml:space="preserve">Product information from Cayman Chemical Co (2022) https://www.caymanchem.com/product/16833/lisinopril</w:t>
      </w:r>
    </w:p>
    <w:bookmarkEnd w:id="75"/>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
  <w:rsids>
    <w:rsidRoot w:val="00590D07"/>
    <w:rsid w:val="00011C8B"/>
    <w:rsid w:val="000734FB"/>
    <w:rsid w:val="000E1B2F"/>
    <w:rsid w:val="000F07F1"/>
    <w:rsid w:val="000F5DB1"/>
    <w:rsid w:val="00146921"/>
    <w:rsid w:val="00162E8B"/>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20" Target="https://github.com/Open-Systems-Pharmacology/Lisinopril-model"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Open-Systems-Pharmacology/Lisinopril-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COMPOUND in healthy adults</dc:title>
  <dc:creator/>
  <cp:keywords/>
  <dcterms:created xsi:type="dcterms:W3CDTF">2025-07-05T20:26:28Z</dcterms:created>
  <dcterms:modified xsi:type="dcterms:W3CDTF">2025-07-05T20:26:28Z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Planhttps://github.com/Open-Systems-Pharmacology/Lisinopril-Model/releases/tag/vx.xOSP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