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3A6B"/>
          <w:sz w:val="32"/>
          <w:szCs w:val="32"/>
        </w:rPr>
        <w:t xml:space="preserve">OFFICE OF THE DATA PROTECTION COMMISSIONER</w:t>
      </w:r>
    </w:p>
    <w:p>
      <w:pPr>
        <w:spacing w:after="40" w:before="0"/>
        <w:jc w:val="center"/>
      </w:pPr>
      <w:r>
        <w:rPr>
          <w:rFonts w:ascii="Arial" w:cs="Arial" w:eastAsia="Arial" w:hAnsi="Arial"/>
          <w:color w:val="595959"/>
          <w:sz w:val="18"/>
          <w:szCs w:val="18"/>
        </w:rPr>
        <w:t xml:space="preserve">P.O. Box 41079-00100, Nairobi, Kenya  |  enquiries@odpc.go.ke  |  www.odpc.go.ke</w:t>
      </w:r>
    </w:p>
    <w:p>
      <w:pPr>
        <w:spacing w:after="0" w:before="120"/>
      </w:pPr>
      <w:r>
        <w:t xml:space="preserve"/>
      </w:r>
    </w:p>
    <w:p>
      <w:pPr>
        <w:spacing w:after="80" w:before="80"/>
        <w:jc w:val="center"/>
      </w:pPr>
      <w:r>
        <w:rPr>
          <w:rFonts w:ascii="Arial" w:cs="Arial" w:eastAsia="Arial" w:hAnsi="Arial"/>
          <w:b/>
          <w:bCs/>
          <w:color w:val="1A3A6B"/>
          <w:sz w:val="28"/>
          <w:szCs w:val="28"/>
        </w:rPr>
        <w:t xml:space="preserve">ADVISORY RESPONSE</w:t>
      </w:r>
    </w:p>
    <w:p>
      <w:pPr>
        <w:spacing w:after="200" w:before="0"/>
        <w:jc w:val="center"/>
      </w:pPr>
      <w:r>
        <w:rPr>
          <w:rFonts w:ascii="Arial" w:cs="Arial" w:eastAsia="Arial" w:hAnsi="Arial"/>
          <w:i/>
          <w:iCs/>
          <w:color w:val="595959"/>
          <w:sz w:val="22"/>
          <w:szCs w:val="22"/>
        </w:rPr>
        <w:t xml:space="preserve">Complaint: Unauthorized Disclosure of Personal Data by a Former Employer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Reference No.</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ODPC/ENQ/2026/____</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Date of Advisory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11 June 2026</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Subject Matter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Unauthorized Sharing of Personal Data by Former Employer</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Relevant Law</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Protection Act, 2019 (Kenya)</w:t>
            </w:r>
          </w:p>
        </w:tc>
      </w:tr>
      <w:t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Unlawful Processing / Third-Party Disclosure</w:t>
            </w:r>
          </w:p>
        </w:tc>
      </w:tr>
    </w:tbl>
    <w:p>
      <w:pPr>
        <w:spacing w:after="0" w:before="320"/>
      </w:pPr>
      <w:r>
        <w:t xml:space="preserve"/>
      </w:r>
    </w:p>
    <w:p>
      <w:pPr>
        <w:pStyle w:val="Heading1"/>
        <w:pBdr>
          <w:bottom w:val="single" w:color="2E75B6" w:sz="6" w:space="4"/>
        </w:pBdr>
        <w:spacing w:after="160" w:before="320"/>
      </w:pPr>
      <w:r>
        <w:rPr>
          <w:rFonts w:ascii="Arial" w:cs="Arial" w:eastAsia="Arial" w:hAnsi="Arial"/>
          <w:b/>
          <w:bCs/>
          <w:color w:val="1A3A6B"/>
          <w:sz w:val="28"/>
          <w:szCs w:val="28"/>
        </w:rPr>
        <w:t xml:space="preserve">1. Background</w:t>
      </w:r>
    </w:p>
    <w:p>
      <w:pPr>
        <w:spacing w:after="100" w:before="80"/>
      </w:pPr>
      <w:r>
        <w:rPr>
          <w:rFonts w:ascii="Arial" w:cs="Arial" w:eastAsia="Arial" w:hAnsi="Arial"/>
          <w:color w:val="1A1A1A"/>
          <w:sz w:val="22"/>
          <w:szCs w:val="22"/>
        </w:rPr>
        <w:t xml:space="preserve">This advisory is issued in response to a complaint submitted to the Office of the Data Protection Commissioner (ODPC) regarding the alleged unauthorized sharing of personal data — specifically a phone number and home address — by a former employer with third parties, without the knowledge or consent of the data subject. As a result, the complainant has been receiving unsolicited calls and messages.</w:t>
      </w:r>
    </w:p>
    <w:p>
      <w:pPr>
        <w:spacing w:after="100" w:before="80"/>
      </w:pPr>
      <w:r>
        <w:rPr>
          <w:rFonts w:ascii="Arial" w:cs="Arial" w:eastAsia="Arial" w:hAnsi="Arial"/>
          <w:color w:val="1A1A1A"/>
          <w:sz w:val="22"/>
          <w:szCs w:val="22"/>
        </w:rPr>
        <w:t xml:space="preserve">This advisory outlines the applicable rights under the Data Protection Act, 2019 (hereinafter "the Act"), the remedies available to the complainant, and the recommended steps to pursue redress.</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A3A6B"/>
          <w:sz w:val="28"/>
          <w:szCs w:val="28"/>
        </w:rPr>
        <w:t xml:space="preserve">2. Applicable Legal Framework</w:t>
      </w:r>
    </w:p>
    <w:p>
      <w:pPr>
        <w:spacing w:after="100" w:before="80"/>
      </w:pPr>
      <w:r>
        <w:rPr>
          <w:rFonts w:ascii="Arial" w:cs="Arial" w:eastAsia="Arial" w:hAnsi="Arial"/>
          <w:color w:val="1A1A1A"/>
          <w:sz w:val="22"/>
          <w:szCs w:val="22"/>
        </w:rPr>
        <w:t xml:space="preserve">The Data Protection Act, 2019 governs the processing, collection, use, and disclosure of personal data in Kenya. The following provisions are directly relevant to this complaint:</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2.1  Definition of Personal Data (Section 2)</w:t>
      </w:r>
    </w:p>
    <w:p>
      <w:pPr>
        <w:spacing w:after="100" w:before="80"/>
      </w:pPr>
      <w:r>
        <w:rPr>
          <w:rFonts w:ascii="Arial" w:cs="Arial" w:eastAsia="Arial" w:hAnsi="Arial"/>
          <w:color w:val="1A1A1A"/>
          <w:sz w:val="22"/>
          <w:szCs w:val="22"/>
        </w:rPr>
        <w:t xml:space="preserve">Phone numbers and home addresses constitute personal data as defined under the Act — that is, information that can identify a natural person, directly or indirectly.</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2.2  Principles of Data Processing (Section 25)</w:t>
      </w:r>
    </w:p>
    <w:p>
      <w:pPr>
        <w:spacing w:after="100" w:before="80"/>
      </w:pPr>
      <w:r>
        <w:rPr>
          <w:rFonts w:ascii="Arial" w:cs="Arial" w:eastAsia="Arial" w:hAnsi="Arial"/>
          <w:color w:val="1A1A1A"/>
          <w:sz w:val="22"/>
          <w:szCs w:val="22"/>
        </w:rPr>
        <w:t xml:space="preserve">Any processing of personal data must comply with the following data protection principles:</w:t>
      </w:r>
    </w:p>
    <w:p>
      <w:pPr>
        <w:pStyle w:val="ListParagraph"/>
        <w:numPr>
          <w:ilvl w:val="0"/>
          <w:numId w:val="2"/>
        </w:numPr>
        <w:spacing w:after="60" w:before="60"/>
      </w:pPr>
      <w:r>
        <w:rPr>
          <w:rFonts w:ascii="Arial" w:cs="Arial" w:eastAsia="Arial" w:hAnsi="Arial"/>
          <w:color w:val="1A1A1A"/>
          <w:sz w:val="22"/>
          <w:szCs w:val="22"/>
        </w:rPr>
        <w:t xml:space="preserve">Lawfulness, fairness, and transparency — processing must have a lawful basis</w:t>
      </w:r>
    </w:p>
    <w:p>
      <w:pPr>
        <w:pStyle w:val="ListParagraph"/>
        <w:numPr>
          <w:ilvl w:val="0"/>
          <w:numId w:val="2"/>
        </w:numPr>
        <w:spacing w:after="60" w:before="60"/>
      </w:pPr>
      <w:r>
        <w:rPr>
          <w:rFonts w:ascii="Arial" w:cs="Arial" w:eastAsia="Arial" w:hAnsi="Arial"/>
          <w:color w:val="1A1A1A"/>
          <w:sz w:val="22"/>
          <w:szCs w:val="22"/>
        </w:rPr>
        <w:t xml:space="preserve">Purpose limitation — data must only be used for the purpose it was originally collected</w:t>
      </w:r>
    </w:p>
    <w:p>
      <w:pPr>
        <w:pStyle w:val="ListParagraph"/>
        <w:numPr>
          <w:ilvl w:val="0"/>
          <w:numId w:val="2"/>
        </w:numPr>
        <w:spacing w:after="60" w:before="60"/>
      </w:pPr>
      <w:r>
        <w:rPr>
          <w:rFonts w:ascii="Arial" w:cs="Arial" w:eastAsia="Arial" w:hAnsi="Arial"/>
          <w:color w:val="1A1A1A"/>
          <w:sz w:val="22"/>
          <w:szCs w:val="22"/>
        </w:rPr>
        <w:t xml:space="preserve">Data minimisation — only data necessary for the stated purpose should be processed</w:t>
      </w:r>
    </w:p>
    <w:p>
      <w:pPr>
        <w:pStyle w:val="ListParagraph"/>
        <w:numPr>
          <w:ilvl w:val="0"/>
          <w:numId w:val="2"/>
        </w:numPr>
        <w:spacing w:after="60" w:before="60"/>
      </w:pPr>
      <w:r>
        <w:rPr>
          <w:rFonts w:ascii="Arial" w:cs="Arial" w:eastAsia="Arial" w:hAnsi="Arial"/>
          <w:color w:val="1A1A1A"/>
          <w:sz w:val="22"/>
          <w:szCs w:val="22"/>
        </w:rPr>
        <w:t xml:space="preserve">Storage limitation — data must not be kept longer than necessary</w:t>
      </w:r>
    </w:p>
    <w:p>
      <w:pPr>
        <w:pStyle w:val="ListParagraph"/>
        <w:numPr>
          <w:ilvl w:val="0"/>
          <w:numId w:val="2"/>
        </w:numPr>
        <w:spacing w:after="60" w:before="60"/>
      </w:pPr>
      <w:r>
        <w:rPr>
          <w:rFonts w:ascii="Arial" w:cs="Arial" w:eastAsia="Arial" w:hAnsi="Arial"/>
          <w:color w:val="1A1A1A"/>
          <w:sz w:val="22"/>
          <w:szCs w:val="22"/>
        </w:rPr>
        <w:t xml:space="preserve">Integrity and confidentiality — personal data must be kept secure</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2.3  Lawful Basis for Processing (Section 30)</w:t>
      </w:r>
    </w:p>
    <w:p>
      <w:pPr>
        <w:spacing w:after="100" w:before="80"/>
      </w:pPr>
      <w:r>
        <w:rPr>
          <w:rFonts w:ascii="Arial" w:cs="Arial" w:eastAsia="Arial" w:hAnsi="Arial"/>
          <w:color w:val="1A1A1A"/>
          <w:sz w:val="22"/>
          <w:szCs w:val="22"/>
        </w:rPr>
        <w:t xml:space="preserve">Personal data may only be processed if one of the following grounds applies: the data subject's consent, contractual necessity, legal obligation, vital interests, public interest, or legitimate interests of the data controller. Sharing personal data with third parties for unsolicited communications does not fall within any of these recognised grounds.</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2.4  Rights of the Data Subject (Part IV)</w:t>
      </w:r>
    </w:p>
    <w:p>
      <w:pPr>
        <w:spacing w:after="100" w:before="80"/>
      </w:pPr>
      <w:r>
        <w:rPr>
          <w:rFonts w:ascii="Arial" w:cs="Arial" w:eastAsia="Arial" w:hAnsi="Arial"/>
          <w:color w:val="1A1A1A"/>
          <w:sz w:val="22"/>
          <w:szCs w:val="22"/>
        </w:rPr>
        <w:t xml:space="preserve">As the data subject, the complainant is entitled to the following rights under the Act:</w:t>
      </w:r>
    </w:p>
    <w:p>
      <w:pPr>
        <w:pStyle w:val="ListParagraph"/>
        <w:numPr>
          <w:ilvl w:val="0"/>
          <w:numId w:val="2"/>
        </w:numPr>
        <w:spacing w:after="60" w:before="60"/>
      </w:pPr>
      <w:r>
        <w:rPr>
          <w:rFonts w:ascii="Arial" w:cs="Arial" w:eastAsia="Arial" w:hAnsi="Arial"/>
          <w:color w:val="1A1A1A"/>
          <w:sz w:val="22"/>
          <w:szCs w:val="22"/>
        </w:rPr>
        <w:t xml:space="preserve">Right of access — to know what personal data is held and how it is being used (Section 26)</w:t>
      </w:r>
    </w:p>
    <w:p>
      <w:pPr>
        <w:pStyle w:val="ListParagraph"/>
        <w:numPr>
          <w:ilvl w:val="0"/>
          <w:numId w:val="2"/>
        </w:numPr>
        <w:spacing w:after="60" w:before="60"/>
      </w:pPr>
      <w:r>
        <w:rPr>
          <w:rFonts w:ascii="Arial" w:cs="Arial" w:eastAsia="Arial" w:hAnsi="Arial"/>
          <w:color w:val="1A1A1A"/>
          <w:sz w:val="22"/>
          <w:szCs w:val="22"/>
        </w:rPr>
        <w:t xml:space="preserve">Right to rectification — to correct inaccurate or incomplete data (Section 35)</w:t>
      </w:r>
    </w:p>
    <w:p>
      <w:pPr>
        <w:pStyle w:val="ListParagraph"/>
        <w:numPr>
          <w:ilvl w:val="0"/>
          <w:numId w:val="2"/>
        </w:numPr>
        <w:spacing w:after="60" w:before="60"/>
      </w:pPr>
      <w:r>
        <w:rPr>
          <w:rFonts w:ascii="Arial" w:cs="Arial" w:eastAsia="Arial" w:hAnsi="Arial"/>
          <w:color w:val="1A1A1A"/>
          <w:sz w:val="22"/>
          <w:szCs w:val="22"/>
        </w:rPr>
        <w:t xml:space="preserve">Right to erasure — to request deletion of personal data where processing is unlawful (Section 36)</w:t>
      </w:r>
    </w:p>
    <w:p>
      <w:pPr>
        <w:pStyle w:val="ListParagraph"/>
        <w:numPr>
          <w:ilvl w:val="0"/>
          <w:numId w:val="2"/>
        </w:numPr>
        <w:spacing w:after="60" w:before="60"/>
      </w:pPr>
      <w:r>
        <w:rPr>
          <w:rFonts w:ascii="Arial" w:cs="Arial" w:eastAsia="Arial" w:hAnsi="Arial"/>
          <w:color w:val="1A1A1A"/>
          <w:sz w:val="22"/>
          <w:szCs w:val="22"/>
        </w:rPr>
        <w:t xml:space="preserve">Right to object — to object to processing of personal data (Section 38)</w:t>
      </w:r>
    </w:p>
    <w:p>
      <w:pPr>
        <w:pStyle w:val="ListParagraph"/>
        <w:numPr>
          <w:ilvl w:val="0"/>
          <w:numId w:val="2"/>
        </w:numPr>
        <w:spacing w:after="60" w:before="60"/>
      </w:pPr>
      <w:r>
        <w:rPr>
          <w:rFonts w:ascii="Arial" w:cs="Arial" w:eastAsia="Arial" w:hAnsi="Arial"/>
          <w:color w:val="1A1A1A"/>
          <w:sz w:val="22"/>
          <w:szCs w:val="22"/>
        </w:rPr>
        <w:t xml:space="preserve">Right to lodge a complaint — with the ODPC against any data controller or processor</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2.5  Obligations of the Data Controller / Employer (Sections 29–31)</w:t>
      </w:r>
    </w:p>
    <w:p>
      <w:pPr>
        <w:spacing w:after="100" w:before="80"/>
      </w:pPr>
      <w:r>
        <w:rPr>
          <w:rFonts w:ascii="Arial" w:cs="Arial" w:eastAsia="Arial" w:hAnsi="Arial"/>
          <w:color w:val="1A1A1A"/>
          <w:sz w:val="22"/>
          <w:szCs w:val="22"/>
        </w:rPr>
        <w:t xml:space="preserve">The former employer, as a registered or de facto data controller, was obligated to:</w:t>
      </w:r>
    </w:p>
    <w:p>
      <w:pPr>
        <w:pStyle w:val="ListParagraph"/>
        <w:numPr>
          <w:ilvl w:val="0"/>
          <w:numId w:val="2"/>
        </w:numPr>
        <w:spacing w:after="60" w:before="60"/>
      </w:pPr>
      <w:r>
        <w:rPr>
          <w:rFonts w:ascii="Arial" w:cs="Arial" w:eastAsia="Arial" w:hAnsi="Arial"/>
          <w:color w:val="1A1A1A"/>
          <w:sz w:val="22"/>
          <w:szCs w:val="22"/>
        </w:rPr>
        <w:t xml:space="preserve">Collect personal data only for specified, explicit, and legitimate purposes</w:t>
      </w:r>
    </w:p>
    <w:p>
      <w:pPr>
        <w:pStyle w:val="ListParagraph"/>
        <w:numPr>
          <w:ilvl w:val="0"/>
          <w:numId w:val="2"/>
        </w:numPr>
        <w:spacing w:after="60" w:before="60"/>
      </w:pPr>
      <w:r>
        <w:rPr>
          <w:rFonts w:ascii="Arial" w:cs="Arial" w:eastAsia="Arial" w:hAnsi="Arial"/>
          <w:color w:val="1A1A1A"/>
          <w:sz w:val="22"/>
          <w:szCs w:val="22"/>
        </w:rPr>
        <w:t xml:space="preserve">Obtain informed consent before disclosing data to third parties</w:t>
      </w:r>
    </w:p>
    <w:p>
      <w:pPr>
        <w:pStyle w:val="ListParagraph"/>
        <w:numPr>
          <w:ilvl w:val="0"/>
          <w:numId w:val="2"/>
        </w:numPr>
        <w:spacing w:after="60" w:before="60"/>
      </w:pPr>
      <w:r>
        <w:rPr>
          <w:rFonts w:ascii="Arial" w:cs="Arial" w:eastAsia="Arial" w:hAnsi="Arial"/>
          <w:color w:val="1A1A1A"/>
          <w:sz w:val="22"/>
          <w:szCs w:val="22"/>
        </w:rPr>
        <w:t xml:space="preserve">Implement appropriate technical and organisational measures to protect personal data</w:t>
      </w:r>
    </w:p>
    <w:p>
      <w:pPr>
        <w:pStyle w:val="ListParagraph"/>
        <w:numPr>
          <w:ilvl w:val="0"/>
          <w:numId w:val="2"/>
        </w:numPr>
        <w:spacing w:after="60" w:before="60"/>
      </w:pPr>
      <w:r>
        <w:rPr>
          <w:rFonts w:ascii="Arial" w:cs="Arial" w:eastAsia="Arial" w:hAnsi="Arial"/>
          <w:color w:val="1A1A1A"/>
          <w:sz w:val="22"/>
          <w:szCs w:val="22"/>
        </w:rPr>
        <w:t xml:space="preserve">Ensure that any third-party recipients of personal data are bound by equivalent data protection obligations</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A3A6B"/>
          <w:sz w:val="28"/>
          <w:szCs w:val="28"/>
        </w:rPr>
        <w:t xml:space="preserve">3. Assessment of the Complaint</w:t>
      </w:r>
    </w:p>
    <w:p>
      <w:pPr>
        <w:spacing w:after="100" w:before="80"/>
      </w:pPr>
      <w:r>
        <w:rPr>
          <w:rFonts w:ascii="Arial" w:cs="Arial" w:eastAsia="Arial" w:hAnsi="Arial"/>
          <w:color w:val="1A1A1A"/>
          <w:sz w:val="22"/>
          <w:szCs w:val="22"/>
        </w:rPr>
        <w:t xml:space="preserve">Based on the facts presented, the ODPC preliminarily notes the following:</w:t>
      </w:r>
    </w:p>
    <w:p>
      <w:pPr>
        <w:pStyle w:val="ListParagraph"/>
        <w:numPr>
          <w:ilvl w:val="0"/>
          <w:numId w:val="3"/>
        </w:numPr>
        <w:spacing w:after="60" w:before="60"/>
      </w:pPr>
      <w:r>
        <w:rPr>
          <w:rFonts w:ascii="Arial" w:cs="Arial" w:eastAsia="Arial" w:hAnsi="Arial"/>
          <w:color w:val="1A1A1A"/>
          <w:sz w:val="22"/>
          <w:szCs w:val="22"/>
        </w:rPr>
        <w:t xml:space="preserve">The sharing of the complainant's phone number and home address with third parties without consent is a prima facie violation of the data processing principles under Section 25 of the Act.</w:t>
      </w:r>
    </w:p>
    <w:p>
      <w:pPr>
        <w:pStyle w:val="ListParagraph"/>
        <w:numPr>
          <w:ilvl w:val="0"/>
          <w:numId w:val="3"/>
        </w:numPr>
        <w:spacing w:after="60" w:before="60"/>
      </w:pPr>
      <w:r>
        <w:rPr>
          <w:rFonts w:ascii="Arial" w:cs="Arial" w:eastAsia="Arial" w:hAnsi="Arial"/>
          <w:color w:val="1A1A1A"/>
          <w:sz w:val="22"/>
          <w:szCs w:val="22"/>
        </w:rPr>
        <w:t xml:space="preserve">The subsequent unsolicited communications received by the complainant constitute harm arising from the unauthorised disclosure, which is cognisable under the Act.</w:t>
      </w:r>
    </w:p>
    <w:p>
      <w:pPr>
        <w:pStyle w:val="ListParagraph"/>
        <w:numPr>
          <w:ilvl w:val="0"/>
          <w:numId w:val="3"/>
        </w:numPr>
        <w:spacing w:after="60" w:before="60"/>
      </w:pPr>
      <w:r>
        <w:rPr>
          <w:rFonts w:ascii="Arial" w:cs="Arial" w:eastAsia="Arial" w:hAnsi="Arial"/>
          <w:color w:val="1A1A1A"/>
          <w:sz w:val="22"/>
          <w:szCs w:val="22"/>
        </w:rPr>
        <w:t xml:space="preserve">The former employer bears the burden of demonstrating a lawful basis for the disclosure. In the absence of such justification, the conduct constitutes unlawful processing.</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A3A6B"/>
          <w:sz w:val="28"/>
          <w:szCs w:val="28"/>
        </w:rPr>
        <w:t xml:space="preserve">4. Recommended Steps for the Complainant</w:t>
      </w:r>
    </w:p>
    <w:p>
      <w:pPr>
        <w:pStyle w:val="Heading2"/>
        <w:spacing w:after="120" w:before="240"/>
      </w:pPr>
      <w:r>
        <w:rPr>
          <w:rFonts w:ascii="Arial" w:cs="Arial" w:eastAsia="Arial" w:hAnsi="Arial"/>
          <w:b/>
          <w:bCs/>
          <w:color w:val="2E75B6"/>
          <w:sz w:val="24"/>
          <w:szCs w:val="24"/>
        </w:rPr>
        <w:t xml:space="preserve">Step 1: Document All Evidence</w:t>
      </w:r>
    </w:p>
    <w:p>
      <w:pPr>
        <w:spacing w:after="100" w:before="80"/>
      </w:pPr>
      <w:r>
        <w:rPr>
          <w:rFonts w:ascii="Arial" w:cs="Arial" w:eastAsia="Arial" w:hAnsi="Arial"/>
          <w:color w:val="1A1A1A"/>
          <w:sz w:val="22"/>
          <w:szCs w:val="22"/>
        </w:rPr>
        <w:t xml:space="preserve">Gather and preserve the following before taking further action:</w:t>
      </w:r>
    </w:p>
    <w:p>
      <w:pPr>
        <w:pStyle w:val="ListParagraph"/>
        <w:numPr>
          <w:ilvl w:val="0"/>
          <w:numId w:val="2"/>
        </w:numPr>
        <w:spacing w:after="60" w:before="60"/>
      </w:pPr>
      <w:r>
        <w:rPr>
          <w:rFonts w:ascii="Arial" w:cs="Arial" w:eastAsia="Arial" w:hAnsi="Arial"/>
          <w:color w:val="1A1A1A"/>
          <w:sz w:val="22"/>
          <w:szCs w:val="22"/>
        </w:rPr>
        <w:t xml:space="preserve">Records of unsolicited calls and messages (screenshots, call logs, message histories)</w:t>
      </w:r>
    </w:p>
    <w:p>
      <w:pPr>
        <w:pStyle w:val="ListParagraph"/>
        <w:numPr>
          <w:ilvl w:val="0"/>
          <w:numId w:val="2"/>
        </w:numPr>
        <w:spacing w:after="60" w:before="60"/>
      </w:pPr>
      <w:r>
        <w:rPr>
          <w:rFonts w:ascii="Arial" w:cs="Arial" w:eastAsia="Arial" w:hAnsi="Arial"/>
          <w:color w:val="1A1A1A"/>
          <w:sz w:val="22"/>
          <w:szCs w:val="22"/>
        </w:rPr>
        <w:t xml:space="preserve">Any communications from the former employer concerning your personal data</w:t>
      </w:r>
    </w:p>
    <w:p>
      <w:pPr>
        <w:pStyle w:val="ListParagraph"/>
        <w:numPr>
          <w:ilvl w:val="0"/>
          <w:numId w:val="2"/>
        </w:numPr>
        <w:spacing w:after="60" w:before="60"/>
      </w:pPr>
      <w:r>
        <w:rPr>
          <w:rFonts w:ascii="Arial" w:cs="Arial" w:eastAsia="Arial" w:hAnsi="Arial"/>
          <w:color w:val="1A1A1A"/>
          <w:sz w:val="22"/>
          <w:szCs w:val="22"/>
        </w:rPr>
        <w:t xml:space="preserve">Your employment contract, privacy notices, or consent forms signed during employment</w:t>
      </w:r>
    </w:p>
    <w:p>
      <w:pPr>
        <w:pStyle w:val="ListParagraph"/>
        <w:numPr>
          <w:ilvl w:val="0"/>
          <w:numId w:val="2"/>
        </w:numPr>
        <w:spacing w:after="60" w:before="60"/>
      </w:pPr>
      <w:r>
        <w:rPr>
          <w:rFonts w:ascii="Arial" w:cs="Arial" w:eastAsia="Arial" w:hAnsi="Arial"/>
          <w:color w:val="1A1A1A"/>
          <w:sz w:val="22"/>
          <w:szCs w:val="22"/>
        </w:rPr>
        <w:t xml:space="preserve">Dates and nature of the unsolicited contacts received</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Step 2: Submit a Data Subject Request to the Former Employer</w:t>
      </w:r>
    </w:p>
    <w:p>
      <w:pPr>
        <w:spacing w:after="100" w:before="80"/>
      </w:pPr>
      <w:r>
        <w:rPr>
          <w:rFonts w:ascii="Arial" w:cs="Arial" w:eastAsia="Arial" w:hAnsi="Arial"/>
          <w:color w:val="1A1A1A"/>
          <w:sz w:val="22"/>
          <w:szCs w:val="22"/>
        </w:rPr>
        <w:t xml:space="preserve">Write a formal letter or email to the former employer requesting the following:</w:t>
      </w:r>
    </w:p>
    <w:p>
      <w:pPr>
        <w:pStyle w:val="ListParagraph"/>
        <w:numPr>
          <w:ilvl w:val="0"/>
          <w:numId w:val="2"/>
        </w:numPr>
        <w:spacing w:after="60" w:before="60"/>
      </w:pPr>
      <w:r>
        <w:rPr>
          <w:rFonts w:ascii="Arial" w:cs="Arial" w:eastAsia="Arial" w:hAnsi="Arial"/>
          <w:color w:val="1A1A1A"/>
          <w:sz w:val="22"/>
          <w:szCs w:val="22"/>
        </w:rPr>
        <w:t xml:space="preserve">Disclosure of all personal data held about you and how it has been processed</w:t>
      </w:r>
    </w:p>
    <w:p>
      <w:pPr>
        <w:pStyle w:val="ListParagraph"/>
        <w:numPr>
          <w:ilvl w:val="0"/>
          <w:numId w:val="2"/>
        </w:numPr>
        <w:spacing w:after="60" w:before="60"/>
      </w:pPr>
      <w:r>
        <w:rPr>
          <w:rFonts w:ascii="Arial" w:cs="Arial" w:eastAsia="Arial" w:hAnsi="Arial"/>
          <w:color w:val="1A1A1A"/>
          <w:sz w:val="22"/>
          <w:szCs w:val="22"/>
        </w:rPr>
        <w:t xml:space="preserve">Immediate cessation of any further sharing of your personal data</w:t>
      </w:r>
    </w:p>
    <w:p>
      <w:pPr>
        <w:pStyle w:val="ListParagraph"/>
        <w:numPr>
          <w:ilvl w:val="0"/>
          <w:numId w:val="2"/>
        </w:numPr>
        <w:spacing w:after="60" w:before="60"/>
      </w:pPr>
      <w:r>
        <w:rPr>
          <w:rFonts w:ascii="Arial" w:cs="Arial" w:eastAsia="Arial" w:hAnsi="Arial"/>
          <w:color w:val="1A1A1A"/>
          <w:sz w:val="22"/>
          <w:szCs w:val="22"/>
        </w:rPr>
        <w:t xml:space="preserve">Erasure of your personal data from their systems and from any third parties it was shared with</w:t>
      </w:r>
    </w:p>
    <w:p>
      <w:pPr>
        <w:spacing w:after="100" w:before="80"/>
      </w:pPr>
      <w:r>
        <w:rPr>
          <w:rFonts w:ascii="Arial" w:cs="Arial" w:eastAsia="Arial" w:hAnsi="Arial"/>
          <w:color w:val="1A1A1A"/>
          <w:sz w:val="22"/>
          <w:szCs w:val="22"/>
        </w:rPr>
        <w:t xml:space="preserve">This request should be made in writing and a copy retained. The data controller is required to respond within a reasonable time — typically 21 days.</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Step 3: File a Formal Complaint with the ODPC</w:t>
      </w:r>
    </w:p>
    <w:p>
      <w:pPr>
        <w:spacing w:after="100" w:before="80"/>
      </w:pPr>
      <w:r>
        <w:rPr>
          <w:rFonts w:ascii="Arial" w:cs="Arial" w:eastAsia="Arial" w:hAnsi="Arial"/>
          <w:color w:val="1A1A1A"/>
          <w:sz w:val="22"/>
          <w:szCs w:val="22"/>
        </w:rPr>
        <w:t xml:space="preserve">If the former employer fails to respond satisfactorily, or if the violation continues, the complainant should file a formal complaint with the ODPC. The complaint must include:</w:t>
      </w:r>
    </w:p>
    <w:p>
      <w:pPr>
        <w:pStyle w:val="ListParagraph"/>
        <w:numPr>
          <w:ilvl w:val="0"/>
          <w:numId w:val="2"/>
        </w:numPr>
        <w:spacing w:after="60" w:before="60"/>
      </w:pPr>
      <w:r>
        <w:rPr>
          <w:rFonts w:ascii="Arial" w:cs="Arial" w:eastAsia="Arial" w:hAnsi="Arial"/>
          <w:color w:val="1A1A1A"/>
          <w:sz w:val="22"/>
          <w:szCs w:val="22"/>
        </w:rPr>
        <w:t xml:space="preserve">A completed ODPC complaint form (available at www.odpc.go.ke)</w:t>
      </w:r>
    </w:p>
    <w:p>
      <w:pPr>
        <w:pStyle w:val="ListParagraph"/>
        <w:numPr>
          <w:ilvl w:val="0"/>
          <w:numId w:val="2"/>
        </w:numPr>
        <w:spacing w:after="60" w:before="60"/>
      </w:pPr>
      <w:r>
        <w:rPr>
          <w:rFonts w:ascii="Arial" w:cs="Arial" w:eastAsia="Arial" w:hAnsi="Arial"/>
          <w:color w:val="1A1A1A"/>
          <w:sz w:val="22"/>
          <w:szCs w:val="22"/>
        </w:rPr>
        <w:t xml:space="preserve">A clear description of the alleged violation</w:t>
      </w:r>
    </w:p>
    <w:p>
      <w:pPr>
        <w:pStyle w:val="ListParagraph"/>
        <w:numPr>
          <w:ilvl w:val="0"/>
          <w:numId w:val="2"/>
        </w:numPr>
        <w:spacing w:after="60" w:before="60"/>
      </w:pPr>
      <w:r>
        <w:rPr>
          <w:rFonts w:ascii="Arial" w:cs="Arial" w:eastAsia="Arial" w:hAnsi="Arial"/>
          <w:color w:val="1A1A1A"/>
          <w:sz w:val="22"/>
          <w:szCs w:val="22"/>
        </w:rPr>
        <w:t xml:space="preserve">Supporting evidence as documented in Step 1</w:t>
      </w:r>
    </w:p>
    <w:p>
      <w:pPr>
        <w:pStyle w:val="ListParagraph"/>
        <w:numPr>
          <w:ilvl w:val="0"/>
          <w:numId w:val="2"/>
        </w:numPr>
        <w:spacing w:after="60" w:before="60"/>
      </w:pPr>
      <w:r>
        <w:rPr>
          <w:rFonts w:ascii="Arial" w:cs="Arial" w:eastAsia="Arial" w:hAnsi="Arial"/>
          <w:color w:val="1A1A1A"/>
          <w:sz w:val="22"/>
          <w:szCs w:val="22"/>
        </w:rPr>
        <w:t xml:space="preserve">Copies of any correspondence with the former employer</w:t>
      </w:r>
    </w:p>
    <w:p>
      <w:pPr>
        <w:spacing w:after="100" w:before="80"/>
      </w:pPr>
      <w:r>
        <w:rPr>
          <w:rFonts w:ascii="Arial" w:cs="Arial" w:eastAsia="Arial" w:hAnsi="Arial"/>
          <w:color w:val="1A1A1A"/>
          <w:sz w:val="22"/>
          <w:szCs w:val="22"/>
        </w:rPr>
        <w:t xml:space="preserve">Complaints may be submitted in person, by post to P.O. Box 41079-00100 Nairobi, or via email to enquiries@odpc.go.ke.</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Step 4: Report to the Communications Authority (Optional)</w:t>
      </w:r>
    </w:p>
    <w:p>
      <w:pPr>
        <w:spacing w:after="100" w:before="80"/>
      </w:pPr>
      <w:r>
        <w:rPr>
          <w:rFonts w:ascii="Arial" w:cs="Arial" w:eastAsia="Arial" w:hAnsi="Arial"/>
          <w:color w:val="1A1A1A"/>
          <w:sz w:val="22"/>
          <w:szCs w:val="22"/>
        </w:rPr>
        <w:t xml:space="preserve">Where unsolicited electronic communications (spam calls, SMS) are involved, the complainant may additionally report to the Communications Authority of Kenya (CA) under the Kenya Information and Communications Act, particularly if the calls originate from registered entities.</w:t>
      </w:r>
    </w:p>
    <w:p>
      <w:pPr>
        <w:spacing w:after="0" w:before="80"/>
      </w:pPr>
      <w:r>
        <w:t xml:space="preserve"/>
      </w:r>
    </w:p>
    <w:p>
      <w:pPr>
        <w:pStyle w:val="Heading2"/>
        <w:spacing w:after="120" w:before="240"/>
      </w:pPr>
      <w:r>
        <w:rPr>
          <w:rFonts w:ascii="Arial" w:cs="Arial" w:eastAsia="Arial" w:hAnsi="Arial"/>
          <w:b/>
          <w:bCs/>
          <w:color w:val="2E75B6"/>
          <w:sz w:val="24"/>
          <w:szCs w:val="24"/>
        </w:rPr>
        <w:t xml:space="preserve">Step 5: Seek Civil Redress (If Applicable)</w:t>
      </w:r>
    </w:p>
    <w:p>
      <w:pPr>
        <w:spacing w:after="100" w:before="80"/>
      </w:pPr>
      <w:r>
        <w:rPr>
          <w:rFonts w:ascii="Arial" w:cs="Arial" w:eastAsia="Arial" w:hAnsi="Arial"/>
          <w:color w:val="1A1A1A"/>
          <w:sz w:val="22"/>
          <w:szCs w:val="22"/>
        </w:rPr>
        <w:t xml:space="preserve">Under Section 77 of the Data Protection Act, 2019, a data subject who suffers damage as a result of a contravention of the Act is entitled to compensation. The complainant may institute civil proceedings against the former employer for damages, including distress caused by the unlawful disclosure.</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A3A6B"/>
          <w:sz w:val="28"/>
          <w:szCs w:val="28"/>
        </w:rPr>
        <w:t xml:space="preserve">5. Potential Sanctions Against the Former Employer</w:t>
      </w:r>
    </w:p>
    <w:p>
      <w:pPr>
        <w:spacing w:after="100" w:before="80"/>
      </w:pPr>
      <w:r>
        <w:rPr>
          <w:rFonts w:ascii="Arial" w:cs="Arial" w:eastAsia="Arial" w:hAnsi="Arial"/>
          <w:color w:val="1A1A1A"/>
          <w:sz w:val="22"/>
          <w:szCs w:val="22"/>
        </w:rPr>
        <w:t xml:space="preserve">Should the ODPC investigate and find the former employer in contravention of the Act, the Commissioner may:</w:t>
      </w:r>
    </w:p>
    <w:p>
      <w:pPr>
        <w:pStyle w:val="ListParagraph"/>
        <w:numPr>
          <w:ilvl w:val="0"/>
          <w:numId w:val="2"/>
        </w:numPr>
        <w:spacing w:after="60" w:before="60"/>
      </w:pPr>
      <w:r>
        <w:rPr>
          <w:rFonts w:ascii="Arial" w:cs="Arial" w:eastAsia="Arial" w:hAnsi="Arial"/>
          <w:color w:val="1A1A1A"/>
          <w:sz w:val="22"/>
          <w:szCs w:val="22"/>
        </w:rPr>
        <w:t xml:space="preserve">Issue an enforcement notice requiring the data controller to take specific corrective action</w:t>
      </w:r>
    </w:p>
    <w:p>
      <w:pPr>
        <w:pStyle w:val="ListParagraph"/>
        <w:numPr>
          <w:ilvl w:val="0"/>
          <w:numId w:val="2"/>
        </w:numPr>
        <w:spacing w:after="60" w:before="60"/>
      </w:pPr>
      <w:r>
        <w:rPr>
          <w:rFonts w:ascii="Arial" w:cs="Arial" w:eastAsia="Arial" w:hAnsi="Arial"/>
          <w:color w:val="1A1A1A"/>
          <w:sz w:val="22"/>
          <w:szCs w:val="22"/>
        </w:rPr>
        <w:t xml:space="preserve">Issue a penalty notice — data controllers may be liable for financial penalties of up to KES 3 million or, in serious cases, up to 1% of annual gross turnover</w:t>
      </w:r>
    </w:p>
    <w:p>
      <w:pPr>
        <w:pStyle w:val="ListParagraph"/>
        <w:numPr>
          <w:ilvl w:val="0"/>
          <w:numId w:val="2"/>
        </w:numPr>
        <w:spacing w:after="60" w:before="60"/>
      </w:pPr>
      <w:r>
        <w:rPr>
          <w:rFonts w:ascii="Arial" w:cs="Arial" w:eastAsia="Arial" w:hAnsi="Arial"/>
          <w:color w:val="1A1A1A"/>
          <w:sz w:val="22"/>
          <w:szCs w:val="22"/>
        </w:rPr>
        <w:t xml:space="preserve">Refer the matter for prosecution where there is evidence of a criminal offence under the Act</w:t>
      </w:r>
    </w:p>
    <w:p>
      <w:pPr>
        <w:pStyle w:val="ListParagraph"/>
        <w:numPr>
          <w:ilvl w:val="0"/>
          <w:numId w:val="2"/>
        </w:numPr>
        <w:spacing w:after="60" w:before="60"/>
      </w:pPr>
      <w:r>
        <w:rPr>
          <w:rFonts w:ascii="Arial" w:cs="Arial" w:eastAsia="Arial" w:hAnsi="Arial"/>
          <w:color w:val="1A1A1A"/>
          <w:sz w:val="22"/>
          <w:szCs w:val="22"/>
        </w:rPr>
        <w:t xml:space="preserve">Order erasure, rectification, or cessation of the unlawful processing</w:t>
      </w:r>
    </w:p>
    <w:p>
      <w:pPr>
        <w:spacing w:after="0" w:before="160"/>
      </w:pPr>
      <w:r>
        <w:t xml:space="preserve"/>
      </w:r>
    </w:p>
    <w:p>
      <w:pPr>
        <w:pStyle w:val="Heading1"/>
        <w:pBdr>
          <w:bottom w:val="single" w:color="2E75B6" w:sz="6" w:space="4"/>
        </w:pBdr>
        <w:spacing w:after="160" w:before="320"/>
      </w:pPr>
      <w:r>
        <w:rPr>
          <w:rFonts w:ascii="Arial" w:cs="Arial" w:eastAsia="Arial" w:hAnsi="Arial"/>
          <w:b/>
          <w:bCs/>
          <w:color w:val="1A3A6B"/>
          <w:sz w:val="28"/>
          <w:szCs w:val="28"/>
        </w:rPr>
        <w:t xml:space="preserve">6. Advisory Conclusion</w:t>
      </w:r>
    </w:p>
    <w:p>
      <w:pPr>
        <w:spacing w:after="100" w:before="80"/>
      </w:pPr>
      <w:r>
        <w:rPr>
          <w:rFonts w:ascii="Arial" w:cs="Arial" w:eastAsia="Arial" w:hAnsi="Arial"/>
          <w:color w:val="1A1A1A"/>
          <w:sz w:val="22"/>
          <w:szCs w:val="22"/>
        </w:rPr>
        <w:t xml:space="preserve">The ODPC encourages the complainant to pursue the steps outlined above promptly. The right to privacy and data protection is a fundamental right under Article 31 of the Constitution of Kenya, 2010, and the Data Protection Act, 2019 provides robust mechanisms for enforcement.</w:t>
      </w:r>
    </w:p>
    <w:p>
      <w:pPr>
        <w:spacing w:after="100" w:before="80"/>
      </w:pPr>
      <w:r>
        <w:rPr>
          <w:rFonts w:ascii="Arial" w:cs="Arial" w:eastAsia="Arial" w:hAnsi="Arial"/>
          <w:color w:val="1A1A1A"/>
          <w:sz w:val="22"/>
          <w:szCs w:val="22"/>
        </w:rPr>
        <w:t xml:space="preserve">This office remains available to guide you through the formal complaint process and, where warranted, to investigate the conduct of the former employer. The ODPC takes all complaints of this nature seriously and is committed to ensuring accountability for personal data breaches.</w:t>
      </w:r>
    </w:p>
    <w:p>
      <w:pPr>
        <w:spacing w:after="0" w:before="80"/>
      </w:pPr>
      <w:r>
        <w:t xml:space="preserve"/>
      </w:r>
    </w:p>
    <w:p>
      <w:pPr>
        <w:spacing w:after="100" w:before="80"/>
      </w:pPr>
      <w:r>
        <w:rPr>
          <w:rFonts w:ascii="Arial" w:cs="Arial" w:eastAsia="Arial" w:hAnsi="Arial"/>
          <w:color w:val="1A1A1A"/>
          <w:sz w:val="22"/>
          <w:szCs w:val="22"/>
        </w:rPr>
        <w:t xml:space="preserve">For further assistance, please contact:</w:t>
      </w:r>
    </w:p>
    <w:p>
      <w:pPr>
        <w:spacing w:after="0" w:before="40"/>
      </w:pPr>
      <w:r>
        <w:t xml:space="preserve"/>
      </w:r>
    </w:p>
    <w:p>
      <w:pPr>
        <w:spacing w:after="100" w:before="80"/>
      </w:pPr>
      <w:r>
        <w:rPr>
          <w:rFonts w:ascii="Arial" w:cs="Arial" w:eastAsia="Arial" w:hAnsi="Arial"/>
          <w:b/>
          <w:bCs/>
          <w:color w:val="1A1A1A"/>
          <w:sz w:val="22"/>
          <w:szCs w:val="22"/>
        </w:rPr>
        <w:t xml:space="preserve">Office of the Data Protection Commissioner</w:t>
      </w:r>
    </w:p>
    <w:p>
      <w:pPr>
        <w:spacing w:after="100" w:before="80"/>
      </w:pPr>
      <w:r>
        <w:rPr>
          <w:rFonts w:ascii="Arial" w:cs="Arial" w:eastAsia="Arial" w:hAnsi="Arial"/>
          <w:color w:val="1A1A1A"/>
          <w:sz w:val="22"/>
          <w:szCs w:val="22"/>
        </w:rPr>
        <w:t xml:space="preserve">Nairobi, Kenya</w:t>
      </w:r>
    </w:p>
    <w:p>
      <w:pPr>
        <w:spacing w:after="100" w:before="80"/>
      </w:pPr>
      <w:r>
        <w:rPr>
          <w:rFonts w:ascii="Arial" w:cs="Arial" w:eastAsia="Arial" w:hAnsi="Arial"/>
          <w:color w:val="1A1A1A"/>
          <w:sz w:val="22"/>
          <w:szCs w:val="22"/>
        </w:rPr>
        <w:t xml:space="preserve">Email: enquiries@odpc.go.ke</w:t>
      </w:r>
    </w:p>
    <w:p>
      <w:pPr>
        <w:spacing w:after="100" w:before="80"/>
      </w:pPr>
      <w:r>
        <w:rPr>
          <w:rFonts w:ascii="Arial" w:cs="Arial" w:eastAsia="Arial" w:hAnsi="Arial"/>
          <w:color w:val="1A1A1A"/>
          <w:sz w:val="22"/>
          <w:szCs w:val="22"/>
        </w:rPr>
        <w:t xml:space="preserve">Website: www.odpc.go.ke</w:t>
      </w:r>
    </w:p>
    <w:p>
      <w:pPr>
        <w:spacing w:after="100" w:before="80"/>
      </w:pPr>
      <w:r>
        <w:rPr>
          <w:rFonts w:ascii="Arial" w:cs="Arial" w:eastAsia="Arial" w:hAnsi="Arial"/>
          <w:color w:val="1A1A1A"/>
          <w:sz w:val="22"/>
          <w:szCs w:val="22"/>
        </w:rPr>
        <w:t xml:space="preserve">Tel: +254 (020) 2628 000</w:t>
      </w:r>
    </w:p>
    <w:p>
      <w:pPr>
        <w:spacing w:after="0" w:before="200"/>
      </w:pPr>
      <w:r>
        <w:t xml:space="preserve"/>
      </w:r>
    </w:p>
    <w:p>
      <w:pPr>
        <w:pBdr>
          <w:top w:val="single" w:color="2E75B6" w:sz="4" w:space="6"/>
        </w:pBdr>
        <w:spacing w:after="60" w:before="160"/>
      </w:pPr>
      <w:r>
        <w:rPr>
          <w:rFonts w:ascii="Arial" w:cs="Arial" w:eastAsia="Arial" w:hAnsi="Arial"/>
          <w:i/>
          <w:iCs/>
          <w:color w:val="595959"/>
          <w:sz w:val="20"/>
          <w:szCs w:val="20"/>
        </w:rPr>
        <w:t xml:space="preserve">Issued by the Advisory and Enquiries Division</w:t>
      </w:r>
    </w:p>
    <w:p>
      <w:pPr>
        <w:spacing w:after="0" w:before="0"/>
      </w:pPr>
      <w:r>
        <w:rPr>
          <w:rFonts w:ascii="Arial" w:cs="Arial" w:eastAsia="Arial" w:hAnsi="Arial"/>
          <w:i/>
          <w:iCs/>
          <w:color w:val="595959"/>
          <w:sz w:val="20"/>
          <w:szCs w:val="20"/>
        </w:rPr>
        <w:t xml:space="preserve">Office of the Data Protection Commissioner — Republic of Kenya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595959"/>
        <w:sz w:val="18"/>
        <w:szCs w:val="18"/>
      </w:rPr>
      <w:t xml:space="preserve">ODPC Advisory | Confidential</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A3A6B"/>
        <w:sz w:val="20"/>
        <w:szCs w:val="20"/>
      </w:rPr>
      <w:t xml:space="preserve">OFFICE OF THE DATA PROTECTION COMMISSIONER</w:t>
    </w:r>
    <w:r>
      <w:rPr>
        <w:rFonts w:ascii="Arial" w:cs="Arial" w:eastAsia="Arial" w:hAnsi="Arial"/>
        <w:color w:val="595959"/>
        <w:sz w:val="20"/>
        <w:szCs w:val="20"/>
      </w:rPr>
      <w:t xml:space="preserve">   |   Advisory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2026-06-11T21:34:12.539Z</dcterms:created>
  <dcterms:modified xsi:type="dcterms:W3CDTF">2026-06-11T21:34:12.539Z</dcterms:modified>
</cp:coreProperties>
</file>

<file path=docProps/custom.xml><?xml version="1.0" encoding="utf-8"?>
<Properties xmlns="http://schemas.openxmlformats.org/officeDocument/2006/custom-properties" xmlns:vt="http://schemas.openxmlformats.org/officeDocument/2006/docPropsVTypes"/>
</file>