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4A90A4"/>
          <w:spacing w:val="40"/>
          <w:sz w:val="16"/>
          <w:szCs w:val="16"/>
        </w:rPr>
        <w:t xml:space="preserve">ENVISION  |  FEDERAL CHANNEL PROPOSAL</w:t>
      </w:r>
    </w:p>
    <w:p>
      <w:pPr>
        <w:spacing w:after="60"/>
      </w:pPr>
      <w:r>
        <w:rPr>
          <w:rFonts w:ascii="Montserrat" w:cs="Montserrat" w:eastAsia="Montserrat" w:hAnsi="Montserrat"/>
          <w:b/>
          <w:bCs/>
          <w:color w:val="1B365D"/>
          <w:sz w:val="44"/>
          <w:szCs w:val="44"/>
        </w:rPr>
        <w:t xml:space="preserve">Controlled OEM Gateway</w:t>
      </w:r>
    </w:p>
    <w:p>
      <w:pPr>
        <w:pBdr>
          <w:bottom w:val="single" w:color="7CB342" w:sz="24" w:space="6"/>
        </w:pBdr>
        <w:spacing w:after="240"/>
      </w:pPr>
      <w:r>
        <w:rPr>
          <w:rFonts w:ascii="Montserrat" w:cs="Montserrat" w:eastAsia="Montserrat" w:hAnsi="Montserrat"/>
          <w:i/>
          <w:iCs/>
          <w:color w:val="667085"/>
          <w:sz w:val="22"/>
          <w:szCs w:val="22"/>
        </w:rPr>
        <w:t xml:space="preserve">A federal procurement channel control model for Philips Healthcare</w:t>
      </w:r>
    </w:p>
    <w:p>
      <w:pPr>
        <w:spacing w:after="200" w:before="120"/>
      </w:pPr>
      <w:r>
        <w:rPr>
          <w:rFonts w:ascii="Montserrat" w:cs="Montserrat" w:eastAsia="Montserrat" w:hAnsi="Montserrat"/>
          <w:i/>
          <w:iCs/>
          <w:color w:val="1D2939"/>
          <w:sz w:val="22"/>
          <w:szCs w:val="22"/>
        </w:rPr>
        <w:t xml:space="preserve">Based on Envision's analysis of public DIBBS award history, Philips consumables generate roughly 2.6 federal awards every day on DIBBS. Most flow through uncoordinated resellers with inconsistent compliance, no pricing discipline, and no feedback to Philips.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65D" w:sz="4"/>
              <w:left w:val="single" w:color="1B365D" w:sz="4"/>
              <w:bottom w:val="single" w:color="1B365D" w:sz="4"/>
              <w:right w:val="single" w:color="1B365D" w:sz="4"/>
            </w:tcBorders>
            <w:shd w:fill="1B365D" w:val="clear"/>
            <w:tcMar>
              <w:top w:type="dxa" w:w="200"/>
              <w:left w:type="dxa" w:w="160"/>
              <w:bottom w:type="dxa" w:w="200"/>
              <w:right w:type="dxa" w:w="160"/>
            </w:tcMar>
          </w:tcPr>
          <w:p>
            <w:pPr>
              <w:spacing w:after="60"/>
              <w:jc w:val="center"/>
            </w:pPr>
            <w:r>
              <w:rPr>
                <w:rFonts w:ascii="Montserrat" w:cs="Montserrat" w:eastAsia="Montserrat" w:hAnsi="Montserrat"/>
                <w:b/>
                <w:bCs/>
                <w:color w:val="FFFFFF"/>
                <w:sz w:val="36"/>
                <w:szCs w:val="36"/>
              </w:rPr>
              <w:t xml:space="preserve">2.6/day</w:t>
            </w:r>
          </w:p>
          <w:p>
            <w:pPr>
              <w:jc w:val="center"/>
            </w:pPr>
            <w:r>
              <w:rPr>
                <w:rFonts w:ascii="Montserrat" w:cs="Montserrat" w:eastAsia="Montserrat" w:hAnsi="Montserrat"/>
                <w:color w:val="FFFFFF"/>
                <w:sz w:val="16"/>
                <w:szCs w:val="16"/>
              </w:rPr>
              <w:t xml:space="preserve">Philips federal awards on DIBBS</w:t>
            </w:r>
          </w:p>
        </w:tc>
        <w:tc>
          <w:tcPr>
            <w:tcW w:type="dxa" w:w="3120"/>
            <w:tcBorders>
              <w:top w:val="single" w:color="1B365D" w:sz="4"/>
              <w:left w:val="single" w:color="1B365D" w:sz="4"/>
              <w:bottom w:val="single" w:color="1B365D" w:sz="4"/>
              <w:right w:val="single" w:color="1B365D" w:sz="4"/>
            </w:tcBorders>
            <w:shd w:fill="1B365D" w:val="clear"/>
            <w:tcMar>
              <w:top w:type="dxa" w:w="200"/>
              <w:left w:type="dxa" w:w="160"/>
              <w:bottom w:type="dxa" w:w="200"/>
              <w:right w:type="dxa" w:w="160"/>
            </w:tcMar>
          </w:tcPr>
          <w:p>
            <w:pPr>
              <w:spacing w:after="60"/>
              <w:jc w:val="center"/>
            </w:pPr>
            <w:r>
              <w:rPr>
                <w:rFonts w:ascii="Montserrat" w:cs="Montserrat" w:eastAsia="Montserrat" w:hAnsi="Montserrat"/>
                <w:b/>
                <w:bCs/>
                <w:color w:val="FFFFFF"/>
                <w:sz w:val="36"/>
                <w:szCs w:val="36"/>
              </w:rPr>
              <w:t xml:space="preserve">15+</w:t>
            </w:r>
          </w:p>
          <w:p>
            <w:pPr>
              <w:jc w:val="center"/>
            </w:pPr>
            <w:r>
              <w:rPr>
                <w:rFonts w:ascii="Montserrat" w:cs="Montserrat" w:eastAsia="Montserrat" w:hAnsi="Montserrat"/>
                <w:color w:val="FFFFFF"/>
                <w:sz w:val="16"/>
                <w:szCs w:val="16"/>
              </w:rPr>
              <w:t xml:space="preserve">Uncoordinated resellers in channel</w:t>
            </w:r>
          </w:p>
        </w:tc>
        <w:tc>
          <w:tcPr>
            <w:tcW w:type="dxa" w:w="3120"/>
            <w:tcBorders>
              <w:top w:val="single" w:color="1B365D" w:sz="4"/>
              <w:left w:val="single" w:color="1B365D" w:sz="4"/>
              <w:bottom w:val="single" w:color="1B365D" w:sz="4"/>
              <w:right w:val="single" w:color="1B365D" w:sz="4"/>
            </w:tcBorders>
            <w:shd w:fill="1B365D" w:val="clear"/>
            <w:tcMar>
              <w:top w:type="dxa" w:w="200"/>
              <w:left w:type="dxa" w:w="160"/>
              <w:bottom w:type="dxa" w:w="200"/>
              <w:right w:type="dxa" w:w="160"/>
            </w:tcMar>
          </w:tcPr>
          <w:p>
            <w:pPr>
              <w:spacing w:after="60"/>
              <w:jc w:val="center"/>
            </w:pPr>
            <w:r>
              <w:rPr>
                <w:rFonts w:ascii="Montserrat" w:cs="Montserrat" w:eastAsia="Montserrat" w:hAnsi="Montserrat"/>
                <w:b/>
                <w:bCs/>
                <w:color w:val="FFFFFF"/>
                <w:sz w:val="36"/>
                <w:szCs w:val="36"/>
              </w:rPr>
              <w:t xml:space="preserve">0</w:t>
            </w:r>
          </w:p>
          <w:p>
            <w:pPr>
              <w:jc w:val="center"/>
            </w:pPr>
            <w:r>
              <w:rPr>
                <w:rFonts w:ascii="Montserrat" w:cs="Montserrat" w:eastAsia="Montserrat" w:hAnsi="Montserrat"/>
                <w:color w:val="FFFFFF"/>
                <w:sz w:val="16"/>
                <w:szCs w:val="16"/>
              </w:rPr>
              <w:t xml:space="preserve">Visibility Philips has today</w:t>
            </w:r>
          </w:p>
        </w:tc>
      </w:tr>
    </w:tbl>
    <w:p>
      <w:pPr>
        <w:pBdr>
          <w:bottom w:val="single" w:color="1B365D" w:sz="18" w:space="4"/>
        </w:pBdr>
        <w:spacing w:after="120" w:before="240"/>
      </w:pPr>
      <w:r>
        <w:rPr>
          <w:rFonts w:ascii="Montserrat" w:cs="Montserrat" w:eastAsia="Montserrat" w:hAnsi="Montserrat"/>
          <w:b/>
          <w:bCs/>
          <w:caps w:val="false"/>
          <w:color w:val="1B365D"/>
          <w:sz w:val="22"/>
          <w:szCs w:val="22"/>
        </w:rPr>
        <w:t xml:space="preserve">The problem Philips faces today</w:t>
      </w:r>
    </w:p>
    <w:p>
      <w:pPr>
        <w:spacing w:after="60" w:before="60" w:line="280"/>
      </w:pPr>
      <w:r>
        <w:rPr>
          <w:rFonts w:ascii="Montserrat" w:cs="Montserrat" w:eastAsia="Montserrat" w:hAnsi="Montserrat"/>
          <w:color w:val="1D2939"/>
          <w:sz w:val="20"/>
          <w:szCs w:val="20"/>
        </w:rPr>
        <w:t xml:space="preserve">Philips federal consumables move through a fragmented reseller channel with no single point of accountability. The result is structural risk that compounds with every transaction:</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Channel conflict. </w:t>
      </w:r>
      <w:r>
        <w:rPr>
          <w:rFonts w:ascii="Montserrat" w:cs="Montserrat" w:eastAsia="Montserrat" w:hAnsi="Montserrat"/>
          <w:color w:val="1D2939"/>
          <w:sz w:val="20"/>
          <w:szCs w:val="20"/>
        </w:rPr>
        <w:t xml:space="preserve">Dozens of resellers bid independently with outdated pricing, inconsistent specs, and varied compliance capability.</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Reputational exposure. </w:t>
      </w:r>
      <w:r>
        <w:rPr>
          <w:rFonts w:ascii="Montserrat" w:cs="Montserrat" w:eastAsia="Montserrat" w:hAnsi="Montserrat"/>
          <w:color w:val="1D2939"/>
          <w:sz w:val="20"/>
          <w:szCs w:val="20"/>
        </w:rPr>
        <w:t xml:space="preserve">When a reseller ships non-conforming product or misrepresents authorization, Philips owns the fallout.</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Coordination overhead. </w:t>
      </w:r>
      <w:r>
        <w:rPr>
          <w:rFonts w:ascii="Montserrat" w:cs="Montserrat" w:eastAsia="Montserrat" w:hAnsi="Montserrat"/>
          <w:color w:val="1D2939"/>
          <w:sz w:val="20"/>
          <w:szCs w:val="20"/>
        </w:rPr>
        <w:t xml:space="preserve">Multiple ad-hoc pricing requests slow Philips internal response and cause lost federal opportunities.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Pricing erosion. </w:t>
      </w:r>
      <w:r>
        <w:rPr>
          <w:rFonts w:ascii="Montserrat" w:cs="Montserrat" w:eastAsia="Montserrat" w:hAnsi="Montserrat"/>
          <w:color w:val="1D2939"/>
          <w:sz w:val="20"/>
          <w:szCs w:val="20"/>
        </w:rPr>
        <w:t xml:space="preserve">Resellers undercut each other, compressing margin and devaluing the product in federal channels.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Zero demand intelligence. </w:t>
      </w:r>
      <w:r>
        <w:rPr>
          <w:rFonts w:ascii="Montserrat" w:cs="Montserrat" w:eastAsia="Montserrat" w:hAnsi="Montserrat"/>
          <w:color w:val="1D2939"/>
          <w:sz w:val="20"/>
          <w:szCs w:val="20"/>
        </w:rPr>
        <w:t xml:space="preserve">Philips has no view into what federal buyers request, at what frequency, or where bids fail.</w:t>
      </w:r>
    </w:p>
    <w:p>
      <w:pPr>
        <w:pBdr>
          <w:bottom w:val="single" w:color="1B365D" w:sz="18" w:space="4"/>
        </w:pBdr>
        <w:spacing w:after="120" w:before="240"/>
      </w:pPr>
      <w:r>
        <w:rPr>
          <w:rFonts w:ascii="Montserrat" w:cs="Montserrat" w:eastAsia="Montserrat" w:hAnsi="Montserrat"/>
          <w:b/>
          <w:bCs/>
          <w:caps w:val="false"/>
          <w:color w:val="1B365D"/>
          <w:sz w:val="22"/>
          <w:szCs w:val="22"/>
        </w:rPr>
        <w:t xml:space="preserve">What Envision proposes</w:t>
      </w:r>
    </w:p>
    <w:p>
      <w:pPr>
        <w:spacing w:after="60" w:before="60" w:line="280"/>
      </w:pPr>
      <w:r>
        <w:rPr>
          <w:rFonts w:ascii="Montserrat" w:cs="Montserrat" w:eastAsia="Montserrat" w:hAnsi="Montserrat"/>
          <w:color w:val="1D2939"/>
          <w:sz w:val="20"/>
          <w:szCs w:val="20"/>
        </w:rPr>
        <w:t xml:space="preserve">Envision operates as a single, compliance-enforced transaction layer between Philips and federal procurement systems. Not a reseller. A channel control mechanism.</w:t>
      </w:r>
    </w:p>
    <w:p>
      <w:pPr>
        <w:spacing w:after="60" w:before="60" w:line="280"/>
      </w:pPr>
      <w:r>
        <w:rPr>
          <w:rFonts w:ascii="Montserrat" w:cs="Montserrat" w:eastAsia="Montserrat" w:hAnsi="Montserrat"/>
          <w:b/>
          <w:bCs/>
          <w:color w:val="1D2939"/>
          <w:sz w:val="20"/>
          <w:szCs w:val="20"/>
        </w:rPr>
        <w:t xml:space="preserve">Philips supplies product and pricing. Envision owns the procurement interface, the compliance burden, and the channel discipline. The result is a predictable, auditable pathway that replaces fragmentation with control.</w:t>
      </w:r>
    </w:p>
    <w:p>
      <w:pPr>
        <w:pBdr>
          <w:bottom w:val="single" w:color="1B365D" w:sz="18" w:space="4"/>
        </w:pBdr>
        <w:spacing w:after="120" w:before="240"/>
      </w:pPr>
      <w:r>
        <w:rPr>
          <w:rFonts w:ascii="Montserrat" w:cs="Montserrat" w:eastAsia="Montserrat" w:hAnsi="Montserrat"/>
          <w:b/>
          <w:bCs/>
          <w:caps w:val="false"/>
          <w:color w:val="1B365D"/>
          <w:sz w:val="22"/>
          <w:szCs w:val="22"/>
        </w:rPr>
        <w:t xml:space="preserve">What Philips gets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One accountable channel. </w:t>
      </w:r>
      <w:r>
        <w:rPr>
          <w:rFonts w:ascii="Montserrat" w:cs="Montserrat" w:eastAsia="Montserrat" w:hAnsi="Montserrat"/>
          <w:color w:val="1D2939"/>
          <w:sz w:val="20"/>
          <w:szCs w:val="20"/>
        </w:rPr>
        <w:t xml:space="preserve">A single authorized representative on DIBBS for defined product codes, eliminating ad-hoc pricing requests and internal coordination drag.</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Compliance as infrastructure. </w:t>
      </w:r>
      <w:r>
        <w:rPr>
          <w:rFonts w:ascii="Montserrat" w:cs="Montserrat" w:eastAsia="Montserrat" w:hAnsi="Montserrat"/>
          <w:color w:val="1D2939"/>
          <w:sz w:val="20"/>
          <w:szCs w:val="20"/>
        </w:rPr>
        <w:t xml:space="preserve">Packaging standards, traceability, COC documentation, and inspection protocols operationalized into repeatable workflows that protect Philips brand reputation.</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Faster federal response. </w:t>
      </w:r>
      <w:r>
        <w:rPr>
          <w:rFonts w:ascii="Montserrat" w:cs="Montserrat" w:eastAsia="Montserrat" w:hAnsi="Montserrat"/>
          <w:color w:val="1D2939"/>
          <w:sz w:val="20"/>
          <w:szCs w:val="20"/>
        </w:rPr>
        <w:t xml:space="preserve">Daily DIBBS monitoring and 24 to 48 hour quote turnaround on opportunities competitors miss.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Demand intelligence and recovered revenue. </w:t>
      </w:r>
      <w:r>
        <w:rPr>
          <w:rFonts w:ascii="Montserrat" w:cs="Montserrat" w:eastAsia="Montserrat" w:hAnsi="Montserrat"/>
          <w:color w:val="1D2939"/>
          <w:sz w:val="20"/>
          <w:szCs w:val="20"/>
        </w:rPr>
        <w:t xml:space="preserve">Quarterly reporting on what federal buyers request, where bids fail, and federal sales captured back into the Philips channel that are currently lost to coordination failures.</w:t>
      </w:r>
    </w:p>
    <w:p>
      <w:r>
        <w:br w:type="page"/>
      </w:r>
    </w:p>
    <w:p>
      <w:pPr>
        <w:pBdr>
          <w:bottom w:val="single" w:color="1B365D" w:sz="12" w:space="4"/>
        </w:pBdr>
        <w:spacing w:after="200"/>
      </w:pPr>
      <w:r>
        <w:rPr>
          <w:rFonts w:ascii="Montserrat" w:cs="Montserrat" w:eastAsia="Montserrat" w:hAnsi="Montserrat"/>
          <w:b/>
          <w:bCs/>
          <w:color w:val="1B365D"/>
          <w:sz w:val="20"/>
          <w:szCs w:val="20"/>
        </w:rPr>
        <w:t xml:space="preserve">Controlled OEM Gateway  |  Philips Healthcare Pilot</w:t>
      </w:r>
    </w:p>
    <w:p>
      <w:pPr>
        <w:pBdr>
          <w:bottom w:val="single" w:color="1B365D" w:sz="18" w:space="4"/>
        </w:pBdr>
        <w:spacing w:after="120" w:before="240"/>
      </w:pPr>
      <w:r>
        <w:rPr>
          <w:rFonts w:ascii="Montserrat" w:cs="Montserrat" w:eastAsia="Montserrat" w:hAnsi="Montserrat"/>
          <w:b/>
          <w:bCs/>
          <w:caps w:val="false"/>
          <w:color w:val="1B365D"/>
          <w:sz w:val="22"/>
          <w:szCs w:val="22"/>
        </w:rPr>
        <w:t xml:space="preserve">How it works</w:t>
      </w:r>
    </w:p>
    <w:p>
      <w:pPr>
        <w:spacing w:after="60" w:before="60" w:line="280"/>
      </w:pPr>
      <w:r>
        <w:rPr>
          <w:rFonts w:ascii="Montserrat" w:cs="Montserrat" w:eastAsia="Montserrat" w:hAnsi="Montserrat"/>
          <w:color w:val="1D2939"/>
          <w:sz w:val="20"/>
          <w:szCs w:val="20"/>
        </w:rPr>
        <w:t xml:space="preserve">Envision competes on procurement execution, not product knowledge or fulfillment speed. Those belong to Philips. Envision owns the federal interface end to end:</w:t>
      </w:r>
    </w:p>
    <w:p>
      <w:pPr>
        <w:pStyle w:val="ListParagraph"/>
        <w:numPr>
          <w:ilvl w:val="0"/>
          <w:numId w:val="2"/>
        </w:numPr>
        <w:spacing w:after="40" w:before="40" w:line="280"/>
      </w:pPr>
      <w:r>
        <w:rPr>
          <w:rFonts w:ascii="Montserrat" w:cs="Montserrat" w:eastAsia="Montserrat" w:hAnsi="Montserrat"/>
          <w:color w:val="1D2939"/>
          <w:sz w:val="20"/>
          <w:szCs w:val="20"/>
        </w:rPr>
        <w:t xml:space="preserve">Daily monitoring of DIBBS solicitations against agreed Philips product codes</w:t>
      </w:r>
    </w:p>
    <w:p>
      <w:pPr>
        <w:pStyle w:val="ListParagraph"/>
        <w:numPr>
          <w:ilvl w:val="0"/>
          <w:numId w:val="2"/>
        </w:numPr>
        <w:spacing w:after="40" w:before="40" w:line="280"/>
      </w:pPr>
      <w:r>
        <w:rPr>
          <w:rFonts w:ascii="Montserrat" w:cs="Montserrat" w:eastAsia="Montserrat" w:hAnsi="Montserrat"/>
          <w:color w:val="1D2939"/>
          <w:sz w:val="20"/>
          <w:szCs w:val="20"/>
        </w:rPr>
        <w:t xml:space="preserve">Translation of federal requirements into manufacturer requests</w:t>
      </w:r>
    </w:p>
    <w:p>
      <w:pPr>
        <w:pStyle w:val="ListParagraph"/>
        <w:numPr>
          <w:ilvl w:val="0"/>
          <w:numId w:val="2"/>
        </w:numPr>
        <w:spacing w:after="40" w:before="40" w:line="280"/>
      </w:pPr>
      <w:r>
        <w:rPr>
          <w:rFonts w:ascii="Montserrat" w:cs="Montserrat" w:eastAsia="Montserrat" w:hAnsi="Montserrat"/>
          <w:color w:val="1D2939"/>
          <w:sz w:val="20"/>
          <w:szCs w:val="20"/>
        </w:rPr>
        <w:t xml:space="preserve">Compliance verification and quote submission within 24 to 48 hour windows</w:t>
      </w:r>
    </w:p>
    <w:p>
      <w:pPr>
        <w:pStyle w:val="ListParagraph"/>
        <w:numPr>
          <w:ilvl w:val="0"/>
          <w:numId w:val="2"/>
        </w:numPr>
        <w:spacing w:after="40" w:before="40" w:line="280"/>
      </w:pPr>
      <w:r>
        <w:rPr>
          <w:rFonts w:ascii="Montserrat" w:cs="Montserrat" w:eastAsia="Montserrat" w:hAnsi="Montserrat"/>
          <w:color w:val="1D2939"/>
          <w:sz w:val="20"/>
          <w:szCs w:val="20"/>
        </w:rPr>
        <w:t xml:space="preserve">Award management, contract execution, and invoicing close-out</w:t>
      </w:r>
    </w:p>
    <w:p>
      <w:pPr>
        <w:pStyle w:val="ListParagraph"/>
        <w:numPr>
          <w:ilvl w:val="0"/>
          <w:numId w:val="2"/>
        </w:numPr>
        <w:spacing w:after="40" w:before="40" w:line="280"/>
      </w:pPr>
      <w:r>
        <w:rPr>
          <w:rFonts w:ascii="Montserrat" w:cs="Montserrat" w:eastAsia="Montserrat" w:hAnsi="Montserrat"/>
          <w:color w:val="1D2939"/>
          <w:sz w:val="20"/>
          <w:szCs w:val="20"/>
        </w:rPr>
        <w:t xml:space="preserve">Quarterly demand and performance reporting back to Philips</w:t>
      </w:r>
    </w:p>
    <w:p>
      <w:pPr>
        <w:pBdr>
          <w:bottom w:val="single" w:color="1B365D" w:sz="18" w:space="4"/>
        </w:pBdr>
        <w:spacing w:after="120" w:before="240"/>
      </w:pPr>
      <w:r>
        <w:rPr>
          <w:rFonts w:ascii="Montserrat" w:cs="Montserrat" w:eastAsia="Montserrat" w:hAnsi="Montserrat"/>
          <w:b/>
          <w:bCs/>
          <w:caps w:val="false"/>
          <w:color w:val="1B365D"/>
          <w:sz w:val="22"/>
          <w:szCs w:val="22"/>
        </w:rPr>
        <w:t xml:space="preserve">What we are asking Philips to provide</w:t>
      </w:r>
    </w:p>
    <w:p>
      <w:pPr>
        <w:spacing w:after="60" w:before="60" w:line="280"/>
      </w:pPr>
      <w:r>
        <w:rPr>
          <w:rFonts w:ascii="Montserrat" w:cs="Montserrat" w:eastAsia="Montserrat" w:hAnsi="Montserrat"/>
          <w:color w:val="1D2939"/>
          <w:sz w:val="20"/>
          <w:szCs w:val="20"/>
        </w:rPr>
        <w:t xml:space="preserve">The model depends on operational structure from Philips. Three commitments make it work:</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1. A standing pricing index. </w:t>
      </w:r>
      <w:r>
        <w:rPr>
          <w:rFonts w:ascii="Montserrat" w:cs="Montserrat" w:eastAsia="Montserrat" w:hAnsi="Montserrat"/>
          <w:color w:val="1D2939"/>
          <w:sz w:val="20"/>
          <w:szCs w:val="20"/>
        </w:rPr>
        <w:t xml:space="preserve">A monthly or quarterly pricing schedule on high-volume consumables. Envision applies a transparent disclosed margin and responds inside DIBBS windows without ad-hoc pricing requests.</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2. Defined channel position. </w:t>
      </w:r>
      <w:r>
        <w:rPr>
          <w:rFonts w:ascii="Montserrat" w:cs="Montserrat" w:eastAsia="Montserrat" w:hAnsi="Montserrat"/>
          <w:color w:val="1D2939"/>
          <w:sz w:val="20"/>
          <w:szCs w:val="20"/>
        </w:rPr>
        <w:t xml:space="preserve">Tiered pricing advantage, SKU-level exclusivity, or formal authorized reseller designation for defined product codes during the pilot period.</w:t>
      </w:r>
    </w:p>
    <w:p>
      <w:pPr>
        <w:pStyle w:val="ListParagraph"/>
        <w:numPr>
          <w:ilvl w:val="0"/>
          <w:numId w:val="2"/>
        </w:numPr>
        <w:spacing w:after="40" w:before="40" w:line="280"/>
      </w:pPr>
      <w:r>
        <w:rPr>
          <w:rFonts w:ascii="Montserrat" w:cs="Montserrat" w:eastAsia="Montserrat" w:hAnsi="Montserrat"/>
          <w:b/>
          <w:bCs/>
          <w:color w:val="1B365D"/>
          <w:sz w:val="20"/>
          <w:szCs w:val="20"/>
        </w:rPr>
        <w:t xml:space="preserve">3. A dedicated Philips contact. </w:t>
      </w:r>
      <w:r>
        <w:rPr>
          <w:rFonts w:ascii="Montserrat" w:cs="Montserrat" w:eastAsia="Montserrat" w:hAnsi="Montserrat"/>
          <w:color w:val="1D2939"/>
          <w:sz w:val="20"/>
          <w:szCs w:val="20"/>
        </w:rPr>
        <w:t xml:space="preserve">A single point of contact with a 24 hour response SLA for any pricing or specification clarification needed inside an active bid window.</w:t>
      </w:r>
    </w:p>
    <w:p>
      <w:pPr>
        <w:pBdr>
          <w:bottom w:val="single" w:color="1B365D" w:sz="18" w:space="4"/>
        </w:pBdr>
        <w:spacing w:after="120" w:before="240"/>
      </w:pPr>
      <w:r>
        <w:rPr>
          <w:rFonts w:ascii="Montserrat" w:cs="Montserrat" w:eastAsia="Montserrat" w:hAnsi="Montserrat"/>
          <w:b/>
          <w:bCs/>
          <w:caps w:val="false"/>
          <w:color w:val="1B365D"/>
          <w:sz w:val="22"/>
          <w:szCs w:val="22"/>
        </w:rPr>
        <w:t xml:space="preserve">The 90-day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65D" w:sz="4"/>
              <w:left w:val="single" w:color="1B365D" w:sz="4"/>
              <w:bottom w:val="single" w:color="1B365D" w:sz="4"/>
              <w:right w:val="single" w:color="1B365D" w:sz="4"/>
            </w:tcBorders>
            <w:shd w:fill="1B365D" w:val="clear"/>
            <w:tcMar>
              <w:top w:type="dxa" w:w="100"/>
              <w:left w:type="dxa" w:w="140"/>
              <w:bottom w:type="dxa" w:w="100"/>
              <w:right w:type="dxa" w:w="140"/>
            </w:tcMar>
          </w:tcPr>
          <w:p>
            <w:r>
              <w:rPr>
                <w:rFonts w:ascii="Montserrat" w:cs="Montserrat" w:eastAsia="Montserrat" w:hAnsi="Montserrat"/>
                <w:b/>
                <w:bCs/>
                <w:color w:val="FFFFFF"/>
                <w:sz w:val="18"/>
                <w:szCs w:val="18"/>
              </w:rPr>
              <w:t xml:space="preserve">Scope</w:t>
            </w:r>
          </w:p>
        </w:tc>
        <w:tc>
          <w:tcPr>
            <w:tcW w:type="dxa" w:w="7020"/>
            <w:tcBorders>
              <w:top w:val="single" w:color="1B365D" w:sz="4"/>
              <w:left w:val="single" w:color="1B365D" w:sz="4"/>
              <w:bottom w:val="single" w:color="1B365D" w:sz="4"/>
              <w:right w:val="single" w:color="1B365D" w:sz="4"/>
            </w:tcBorders>
            <w:tcMar>
              <w:top w:type="dxa" w:w="100"/>
              <w:left w:type="dxa" w:w="140"/>
              <w:bottom w:type="dxa" w:w="100"/>
              <w:right w:type="dxa" w:w="140"/>
            </w:tcMar>
          </w:tcPr>
          <w:p>
            <w:r>
              <w:rPr>
                <w:rFonts w:ascii="Montserrat" w:cs="Montserrat" w:eastAsia="Montserrat" w:hAnsi="Montserrat"/>
                <w:color w:val="1D2939"/>
                <w:sz w:val="18"/>
                <w:szCs w:val="18"/>
              </w:rPr>
              <w:t xml:space="preserve">Defined set of high-volume Philips consumable product codes on DIBBS</w:t>
            </w:r>
          </w:p>
        </w:tc>
      </w:tr>
      <w:tr>
        <w:tc>
          <w:tcPr>
            <w:tcW w:type="dxa" w:w="2340"/>
            <w:tcBorders>
              <w:top w:val="single" w:color="1B365D" w:sz="4"/>
              <w:left w:val="single" w:color="1B365D" w:sz="4"/>
              <w:bottom w:val="single" w:color="1B365D" w:sz="4"/>
              <w:right w:val="single" w:color="1B365D" w:sz="4"/>
            </w:tcBorders>
            <w:shd w:fill="1B365D" w:val="clear"/>
            <w:tcMar>
              <w:top w:type="dxa" w:w="100"/>
              <w:left w:type="dxa" w:w="140"/>
              <w:bottom w:type="dxa" w:w="100"/>
              <w:right w:type="dxa" w:w="140"/>
            </w:tcMar>
          </w:tcPr>
          <w:p>
            <w:r>
              <w:rPr>
                <w:rFonts w:ascii="Montserrat" w:cs="Montserrat" w:eastAsia="Montserrat" w:hAnsi="Montserrat"/>
                <w:b/>
                <w:bCs/>
                <w:color w:val="FFFFFF"/>
                <w:sz w:val="18"/>
                <w:szCs w:val="18"/>
              </w:rPr>
              <w:t xml:space="preserve">Duration</w:t>
            </w:r>
          </w:p>
        </w:tc>
        <w:tc>
          <w:tcPr>
            <w:tcW w:type="dxa" w:w="7020"/>
            <w:tcBorders>
              <w:top w:val="single" w:color="1B365D" w:sz="4"/>
              <w:left w:val="single" w:color="1B365D" w:sz="4"/>
              <w:bottom w:val="single" w:color="1B365D" w:sz="4"/>
              <w:right w:val="single" w:color="1B365D" w:sz="4"/>
            </w:tcBorders>
            <w:tcMar>
              <w:top w:type="dxa" w:w="100"/>
              <w:left w:type="dxa" w:w="140"/>
              <w:bottom w:type="dxa" w:w="100"/>
              <w:right w:type="dxa" w:w="140"/>
            </w:tcMar>
          </w:tcPr>
          <w:p>
            <w:r>
              <w:rPr>
                <w:rFonts w:ascii="Montserrat" w:cs="Montserrat" w:eastAsia="Montserrat" w:hAnsi="Montserrat"/>
                <w:color w:val="1D2939"/>
                <w:sz w:val="18"/>
                <w:szCs w:val="18"/>
              </w:rPr>
              <w:t xml:space="preserve">90 days from standing pricing index activation</w:t>
            </w:r>
          </w:p>
        </w:tc>
      </w:tr>
      <w:tr>
        <w:tc>
          <w:tcPr>
            <w:tcW w:type="dxa" w:w="2340"/>
            <w:tcBorders>
              <w:top w:val="single" w:color="1B365D" w:sz="4"/>
              <w:left w:val="single" w:color="1B365D" w:sz="4"/>
              <w:bottom w:val="single" w:color="1B365D" w:sz="4"/>
              <w:right w:val="single" w:color="1B365D" w:sz="4"/>
            </w:tcBorders>
            <w:shd w:fill="1B365D" w:val="clear"/>
            <w:tcMar>
              <w:top w:type="dxa" w:w="100"/>
              <w:left w:type="dxa" w:w="140"/>
              <w:bottom w:type="dxa" w:w="100"/>
              <w:right w:type="dxa" w:w="140"/>
            </w:tcMar>
          </w:tcPr>
          <w:p>
            <w:r>
              <w:rPr>
                <w:rFonts w:ascii="Montserrat" w:cs="Montserrat" w:eastAsia="Montserrat" w:hAnsi="Montserrat"/>
                <w:b/>
                <w:bCs/>
                <w:color w:val="FFFFFF"/>
                <w:sz w:val="18"/>
                <w:szCs w:val="18"/>
              </w:rPr>
              <w:t xml:space="preserve">Success metrics</w:t>
            </w:r>
          </w:p>
        </w:tc>
        <w:tc>
          <w:tcPr>
            <w:tcW w:type="dxa" w:w="7020"/>
            <w:tcBorders>
              <w:top w:val="single" w:color="1B365D" w:sz="4"/>
              <w:left w:val="single" w:color="1B365D" w:sz="4"/>
              <w:bottom w:val="single" w:color="1B365D" w:sz="4"/>
              <w:right w:val="single" w:color="1B365D" w:sz="4"/>
            </w:tcBorders>
            <w:tcMar>
              <w:top w:type="dxa" w:w="100"/>
              <w:left w:type="dxa" w:w="140"/>
              <w:bottom w:type="dxa" w:w="100"/>
              <w:right w:type="dxa" w:w="140"/>
            </w:tcMar>
          </w:tcPr>
          <w:p>
            <w:r>
              <w:rPr>
                <w:rFonts w:ascii="Montserrat" w:cs="Montserrat" w:eastAsia="Montserrat" w:hAnsi="Montserrat"/>
                <w:color w:val="1D2939"/>
                <w:sz w:val="18"/>
                <w:szCs w:val="18"/>
              </w:rPr>
              <w:t xml:space="preserve">Win rate vs. competing resellers, on-time response rate, compliance pass rate, captured revenue, Philips internal coordination time recovered</w:t>
            </w:r>
          </w:p>
        </w:tc>
      </w:tr>
      <w:tr>
        <w:tc>
          <w:tcPr>
            <w:tcW w:type="dxa" w:w="2340"/>
            <w:tcBorders>
              <w:top w:val="single" w:color="1B365D" w:sz="4"/>
              <w:left w:val="single" w:color="1B365D" w:sz="4"/>
              <w:bottom w:val="single" w:color="1B365D" w:sz="4"/>
              <w:right w:val="single" w:color="1B365D" w:sz="4"/>
            </w:tcBorders>
            <w:shd w:fill="1B365D" w:val="clear"/>
            <w:tcMar>
              <w:top w:type="dxa" w:w="100"/>
              <w:left w:type="dxa" w:w="140"/>
              <w:bottom w:type="dxa" w:w="100"/>
              <w:right w:type="dxa" w:w="140"/>
            </w:tcMar>
          </w:tcPr>
          <w:p>
            <w:r>
              <w:rPr>
                <w:rFonts w:ascii="Montserrat" w:cs="Montserrat" w:eastAsia="Montserrat" w:hAnsi="Montserrat"/>
                <w:b/>
                <w:bCs/>
                <w:color w:val="FFFFFF"/>
                <w:sz w:val="18"/>
                <w:szCs w:val="18"/>
              </w:rPr>
              <w:t xml:space="preserve">Day 90 review</w:t>
            </w:r>
          </w:p>
        </w:tc>
        <w:tc>
          <w:tcPr>
            <w:tcW w:type="dxa" w:w="7020"/>
            <w:tcBorders>
              <w:top w:val="single" w:color="1B365D" w:sz="4"/>
              <w:left w:val="single" w:color="1B365D" w:sz="4"/>
              <w:bottom w:val="single" w:color="1B365D" w:sz="4"/>
              <w:right w:val="single" w:color="1B365D" w:sz="4"/>
            </w:tcBorders>
            <w:tcMar>
              <w:top w:type="dxa" w:w="100"/>
              <w:left w:type="dxa" w:w="140"/>
              <w:bottom w:type="dxa" w:w="100"/>
              <w:right w:type="dxa" w:w="140"/>
            </w:tcMar>
          </w:tcPr>
          <w:p>
            <w:r>
              <w:rPr>
                <w:rFonts w:ascii="Montserrat" w:cs="Montserrat" w:eastAsia="Montserrat" w:hAnsi="Montserrat"/>
                <w:color w:val="1D2939"/>
                <w:sz w:val="18"/>
                <w:szCs w:val="18"/>
              </w:rPr>
              <w:t xml:space="preserve">Joint scorecard review. Expand scope, renegotiate, or close.</w:t>
            </w:r>
          </w:p>
        </w:tc>
      </w:tr>
    </w:tbl>
    <w:p>
      <w:pPr>
        <w:pBdr>
          <w:bottom w:val="single" w:color="1B365D" w:sz="18" w:space="4"/>
        </w:pBdr>
        <w:spacing w:after="120" w:before="240"/>
      </w:pPr>
      <w:r>
        <w:rPr>
          <w:rFonts w:ascii="Montserrat" w:cs="Montserrat" w:eastAsia="Montserrat" w:hAnsi="Montserrat"/>
          <w:b/>
          <w:bCs/>
          <w:caps w:val="false"/>
          <w:color w:val="1B365D"/>
          <w:sz w:val="22"/>
          <w:szCs w:val="22"/>
        </w:rPr>
        <w:t xml:space="preserve">Why Envision</w:t>
      </w:r>
    </w:p>
    <w:p>
      <w:pPr>
        <w:pStyle w:val="ListParagraph"/>
        <w:numPr>
          <w:ilvl w:val="0"/>
          <w:numId w:val="2"/>
        </w:numPr>
        <w:spacing w:after="40" w:before="40" w:line="280"/>
      </w:pPr>
      <w:r>
        <w:rPr>
          <w:rFonts w:ascii="Montserrat" w:cs="Montserrat" w:eastAsia="Montserrat" w:hAnsi="Montserrat"/>
          <w:color w:val="1D2939"/>
          <w:sz w:val="20"/>
          <w:szCs w:val="20"/>
        </w:rPr>
        <w:t xml:space="preserve">Federal contractor with active SAM.gov registration and existing federal procurement experience</w:t>
      </w:r>
    </w:p>
    <w:p>
      <w:pPr>
        <w:pStyle w:val="ListParagraph"/>
        <w:numPr>
          <w:ilvl w:val="0"/>
          <w:numId w:val="2"/>
        </w:numPr>
        <w:spacing w:after="40" w:before="40" w:line="280"/>
      </w:pPr>
      <w:r>
        <w:rPr>
          <w:rFonts w:ascii="Montserrat" w:cs="Montserrat" w:eastAsia="Montserrat" w:hAnsi="Montserrat"/>
          <w:color w:val="1D2939"/>
          <w:sz w:val="20"/>
          <w:szCs w:val="20"/>
        </w:rPr>
        <w:t xml:space="preserve">Established compliance discipline across regulated federal channels</w:t>
      </w:r>
    </w:p>
    <w:p>
      <w:pPr>
        <w:pStyle w:val="ListParagraph"/>
        <w:numPr>
          <w:ilvl w:val="0"/>
          <w:numId w:val="2"/>
        </w:numPr>
        <w:spacing w:after="40" w:before="40" w:line="280"/>
      </w:pPr>
      <w:r>
        <w:rPr>
          <w:rFonts w:ascii="Montserrat" w:cs="Montserrat" w:eastAsia="Montserrat" w:hAnsi="Montserrat"/>
          <w:color w:val="1D2939"/>
          <w:sz w:val="20"/>
          <w:szCs w:val="20"/>
        </w:rPr>
        <w:t xml:space="preserve">Dedicated DIBBS execution personnel identified and onboarding, supported by in-house training and assessment infrastructure</w:t>
      </w:r>
    </w:p>
    <w:p>
      <w:pPr>
        <w:pStyle w:val="ListParagraph"/>
        <w:numPr>
          <w:ilvl w:val="0"/>
          <w:numId w:val="2"/>
        </w:numPr>
        <w:spacing w:after="40" w:before="40" w:line="280"/>
      </w:pPr>
      <w:r>
        <w:rPr>
          <w:rFonts w:ascii="Montserrat" w:cs="Montserrat" w:eastAsia="Montserrat" w:hAnsi="Montserrat"/>
          <w:color w:val="1D2939"/>
          <w:sz w:val="20"/>
          <w:szCs w:val="20"/>
        </w:rPr>
        <w:t xml:space="preserve">Operational readiness to expand the model to additional Philips product lines after pilot validation</w:t>
      </w:r>
    </w:p>
    <w:p>
      <w:pPr>
        <w:shd w:fill="1B365D" w:val="clear"/>
        <w:spacing w:after="0" w:before="360"/>
      </w:pPr>
      <w:r>
        <w:rPr>
          <w:rFonts w:ascii="Montserrat" w:cs="Montserrat" w:eastAsia="Montserrat" w:hAnsi="Montserrat"/>
          <w:b/>
          <w:bCs/>
          <w:color w:val="FFFFFF"/>
          <w:sz w:val="22"/>
          <w:szCs w:val="22"/>
        </w:rPr>
        <w:t xml:space="preserve">  Next step</w:t>
      </w:r>
      <w:r>
        <w:rPr>
          <w:sz w:val="22"/>
          <w:szCs w:val="22"/>
        </w:rPr>
        <w:t xml:space="preserve">  </w:t>
      </w:r>
    </w:p>
    <w:p>
      <w:pPr>
        <w:shd w:fill="1B365D" w:val="clear"/>
        <w:spacing w:after="120" w:before="0"/>
      </w:pPr>
      <w:r>
        <w:rPr>
          <w:sz w:val="20"/>
          <w:szCs w:val="20"/>
        </w:rPr>
        <w:t xml:space="preserve">  </w:t>
      </w:r>
      <w:r>
        <w:rPr>
          <w:rFonts w:ascii="Montserrat" w:cs="Montserrat" w:eastAsia="Montserrat" w:hAnsi="Montserrat"/>
          <w:color w:val="FFFFFF"/>
          <w:sz w:val="20"/>
          <w:szCs w:val="20"/>
        </w:rPr>
        <w:t xml:space="preserve">A 30-minute working session with Philips federal channel leadership to define pilot product codes, confirm pricing index cadence, and align on the 90-day scorecard.</w:t>
      </w:r>
      <w:r>
        <w:rPr>
          <w:sz w:val="20"/>
          <w:szCs w:val="20"/>
        </w:rPr>
        <w:t xml:space="preserve">  </w:t>
      </w:r>
    </w:p>
    <w:p>
      <w:pPr>
        <w:spacing w:before="360"/>
        <w:jc w:val="center"/>
      </w:pPr>
      <w:r>
        <w:rPr>
          <w:rFonts w:ascii="Montserrat" w:cs="Montserrat" w:eastAsia="Montserrat" w:hAnsi="Montserrat"/>
          <w:i/>
          <w:iCs/>
          <w:color w:val="667085"/>
          <w:sz w:val="14"/>
          <w:szCs w:val="14"/>
        </w:rPr>
        <w:t xml:space="preserve">Envision Inc.  |  Confidential proposal prepared for Philips Healthcare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293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OEM Gateway — Philips Healthcare Pilot</dc:title>
  <dc:creator>Envision Inc.</dc:creator>
  <cp:lastModifiedBy>Un-named</cp:lastModifiedBy>
  <cp:revision>1</cp:revision>
  <dcterms:created xsi:type="dcterms:W3CDTF">2026-04-08T15:58:22.879Z</dcterms:created>
  <dcterms:modified xsi:type="dcterms:W3CDTF">2026-04-08T15:58:22.880Z</dcterms:modified>
</cp:coreProperties>
</file>

<file path=docProps/custom.xml><?xml version="1.0" encoding="utf-8"?>
<Properties xmlns="http://schemas.openxmlformats.org/officeDocument/2006/custom-properties" xmlns:vt="http://schemas.openxmlformats.org/officeDocument/2006/docPropsVTypes"/>
</file>