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B42318"/>
          <w:spacing w:val="40"/>
          <w:sz w:val="16"/>
          <w:szCs w:val="16"/>
        </w:rPr>
        <w:t xml:space="preserve">INTERNAL  |  STRATEGY BRIEF  |  NOT FOR EXTERNAL DISTRIBUTION</w:t>
      </w:r>
    </w:p>
    <w:p>
      <w:pPr>
        <w:spacing w:after="60"/>
      </w:pPr>
      <w:r>
        <w:rPr>
          <w:rFonts w:ascii="Montserrat" w:cs="Montserrat" w:eastAsia="Montserrat" w:hAnsi="Montserrat"/>
          <w:b/>
          <w:bCs/>
          <w:color w:val="1B365D"/>
          <w:sz w:val="40"/>
          <w:szCs w:val="40"/>
        </w:rPr>
        <w:t xml:space="preserve">Controlled OEM Gateway</w:t>
      </w:r>
    </w:p>
    <w:p>
      <w:pPr>
        <w:pBdr>
          <w:bottom w:val="single" w:color="1B365D" w:sz="18" w:space="6"/>
        </w:pBdr>
        <w:spacing w:after="240"/>
      </w:pPr>
      <w:r>
        <w:rPr>
          <w:rFonts w:ascii="Montserrat" w:cs="Montserrat" w:eastAsia="Montserrat" w:hAnsi="Montserrat"/>
          <w:i/>
          <w:iCs/>
          <w:color w:val="667085"/>
          <w:sz w:val="22"/>
          <w:szCs w:val="22"/>
        </w:rPr>
        <w:t xml:space="preserve">Philips Healthcare pilot — internal strategy, readiness, and commitment brief</w:t>
      </w:r>
    </w:p>
    <w:p>
      <w:pPr>
        <w:spacing w:after="60"/>
      </w:pPr>
      <w:r>
        <w:rPr>
          <w:rFonts w:ascii="Montserrat" w:cs="Montserrat" w:eastAsia="Montserrat" w:hAnsi="Montserrat"/>
          <w:b/>
          <w:bCs/>
          <w:color w:val="1D2939"/>
          <w:sz w:val="18"/>
          <w:szCs w:val="18"/>
        </w:rPr>
        <w:t xml:space="preserve">Author: </w:t>
      </w:r>
      <w:r>
        <w:rPr>
          <w:rFonts w:ascii="Montserrat" w:cs="Montserrat" w:eastAsia="Montserrat" w:hAnsi="Montserrat"/>
          <w:color w:val="1D2939"/>
          <w:sz w:val="18"/>
          <w:szCs w:val="18"/>
        </w:rPr>
        <w:t xml:space="preserve">Marketing (Laura Restum)    </w:t>
      </w:r>
      <w:r>
        <w:rPr>
          <w:rFonts w:ascii="Montserrat" w:cs="Montserrat" w:eastAsia="Montserrat" w:hAnsi="Montserrat"/>
          <w:b/>
          <w:bCs/>
          <w:color w:val="1D2939"/>
          <w:sz w:val="18"/>
          <w:szCs w:val="18"/>
        </w:rPr>
        <w:t xml:space="preserve">For review by: </w:t>
      </w:r>
      <w:r>
        <w:rPr>
          <w:rFonts w:ascii="Montserrat" w:cs="Montserrat" w:eastAsia="Montserrat" w:hAnsi="Montserrat"/>
          <w:color w:val="1D2939"/>
          <w:sz w:val="18"/>
          <w:szCs w:val="18"/>
        </w:rPr>
        <w:t xml:space="preserve">Deidre (DRI), Sebastian (leadership support)</w:t>
      </w:r>
    </w:p>
    <w:p>
      <w:pPr>
        <w:spacing w:after="240"/>
      </w:pPr>
      <w:r>
        <w:rPr>
          <w:rFonts w:ascii="Montserrat" w:cs="Montserrat" w:eastAsia="Montserrat" w:hAnsi="Montserrat"/>
          <w:b/>
          <w:bCs/>
          <w:color w:val="1D2939"/>
          <w:sz w:val="18"/>
          <w:szCs w:val="18"/>
        </w:rPr>
        <w:t xml:space="preserve">Status: </w:t>
      </w:r>
      <w:r>
        <w:rPr>
          <w:rFonts w:ascii="Montserrat" w:cs="Montserrat" w:eastAsia="Montserrat" w:hAnsi="Montserrat"/>
          <w:color w:val="1D2939"/>
          <w:sz w:val="18"/>
          <w:szCs w:val="18"/>
        </w:rPr>
        <w:t xml:space="preserve">Pre-pitch readiness review. Commit / modify / kill decision required before Philips outreach.</w:t>
      </w:r>
    </w:p>
    <w:p>
      <w:pPr>
        <w:pBdr>
          <w:bottom w:val="single" w:color="1B365D" w:sz="18" w:space="4"/>
        </w:pBdr>
        <w:spacing w:after="160" w:before="320"/>
      </w:pPr>
      <w:r>
        <w:rPr>
          <w:rFonts w:ascii="Montserrat" w:cs="Montserrat" w:eastAsia="Montserrat" w:hAnsi="Montserrat"/>
          <w:b/>
          <w:bCs/>
          <w:color w:val="1B365D"/>
          <w:sz w:val="26"/>
          <w:szCs w:val="26"/>
        </w:rPr>
        <w:t xml:space="preserve">Purpose of this document</w:t>
      </w:r>
    </w:p>
    <w:p>
      <w:pPr>
        <w:spacing w:after="60" w:before="60" w:line="300"/>
      </w:pPr>
      <w:r>
        <w:rPr>
          <w:rFonts w:ascii="Montserrat" w:cs="Montserrat" w:eastAsia="Montserrat" w:hAnsi="Montserrat"/>
          <w:color w:val="1D2939"/>
          <w:sz w:val="20"/>
          <w:szCs w:val="20"/>
        </w:rPr>
        <w:t xml:space="preserve">This brief exists so Envision does not walk into a Philips conversation with a strategy the organization has not internally committed to. The external one-pager and pitch deck are built to sell the model. This document is built to stress-test it.</w:t>
      </w:r>
    </w:p>
    <w:p>
      <w:pPr>
        <w:spacing w:after="60" w:before="60" w:line="300"/>
      </w:pPr>
      <w:r>
        <w:rPr>
          <w:rFonts w:ascii="Montserrat" w:cs="Montserrat" w:eastAsia="Montserrat" w:hAnsi="Montserrat"/>
          <w:color w:val="1D2939"/>
          <w:sz w:val="20"/>
          <w:szCs w:val="20"/>
        </w:rPr>
        <w:t xml:space="preserve">It answers four questions in order: what is the model, where are our gaps, what do we need to commit internally before we pitch, and what kills the deal if we get it wrong.</w:t>
      </w:r>
    </w:p>
    <w:p>
      <w:pPr>
        <w:pBdr>
          <w:bottom w:val="single" w:color="1B365D" w:sz="18" w:space="4"/>
        </w:pBdr>
        <w:spacing w:after="160" w:before="320"/>
      </w:pPr>
      <w:r>
        <w:rPr>
          <w:rFonts w:ascii="Montserrat" w:cs="Montserrat" w:eastAsia="Montserrat" w:hAnsi="Montserrat"/>
          <w:b/>
          <w:bCs/>
          <w:color w:val="1B365D"/>
          <w:sz w:val="26"/>
          <w:szCs w:val="26"/>
        </w:rPr>
        <w:t xml:space="preserve">The model in one paragraph</w:t>
      </w:r>
    </w:p>
    <w:p>
      <w:pPr>
        <w:spacing w:after="60" w:before="60" w:line="300"/>
      </w:pPr>
      <w:r>
        <w:rPr>
          <w:rFonts w:ascii="Montserrat" w:cs="Montserrat" w:eastAsia="Montserrat" w:hAnsi="Montserrat"/>
          <w:color w:val="1D2939"/>
          <w:sz w:val="20"/>
          <w:szCs w:val="20"/>
        </w:rPr>
        <w:t xml:space="preserve">Envision positions itself as a single, compliance-enforced transaction layer between Philips and federal procurement systems. Not a reseller. A channel control mechanism. Philips supplies product and pricing. Envision owns the DIBBS interface, the compliance burden, the quote execution, and the channel discipline. The strategic bet is that Philips values channel consolidation and demand visibility more than it values maximum reseller count, and that Envision can execute faster and cleaner than the resellers currently fragmenting the channel.</w:t>
      </w:r>
    </w:p>
    <w:p>
      <w:pPr>
        <w:shd w:fill="B42318" w:val="clear"/>
        <w:spacing w:after="0" w:before="180"/>
      </w:pPr>
      <w:r>
        <w:rPr>
          <w:sz w:val="20"/>
          <w:szCs w:val="20"/>
        </w:rPr>
        <w:t xml:space="preserve">  </w:t>
      </w:r>
      <w:r>
        <w:rPr>
          <w:rFonts w:ascii="Montserrat" w:cs="Montserrat" w:eastAsia="Montserrat" w:hAnsi="Montserrat"/>
          <w:b/>
          <w:bCs/>
          <w:color w:val="FFFFFF"/>
          <w:sz w:val="20"/>
          <w:szCs w:val="20"/>
        </w:rPr>
        <w:t xml:space="preserve">HARD TRUTH</w:t>
      </w:r>
    </w:p>
    <w:p>
      <w:pPr>
        <w:shd w:fill="B42318" w:val="clear"/>
        <w:spacing w:after="180" w:before="0" w:line="280"/>
      </w:pPr>
      <w:r>
        <w:rPr>
          <w:sz w:val="20"/>
          <w:szCs w:val="20"/>
        </w:rPr>
        <w:t xml:space="preserve">  </w:t>
      </w:r>
      <w:r>
        <w:rPr>
          <w:rFonts w:ascii="Montserrat" w:cs="Montserrat" w:eastAsia="Montserrat" w:hAnsi="Montserrat"/>
          <w:color w:val="FFFFFF"/>
          <w:sz w:val="20"/>
          <w:szCs w:val="20"/>
        </w:rPr>
        <w:t xml:space="preserve">Envision will not always win on price. DIBBS is price-competitive. Resellers with lower overhead, thinner margins, or closer OEM relationships may underbid Envision on individual opportunities. This model wins on speed, compliance discipline, and channel consolidation value, or it does not win at all.</w:t>
      </w:r>
    </w:p>
    <w:p>
      <w:pPr>
        <w:pBdr>
          <w:bottom w:val="single" w:color="1B365D" w:sz="18" w:space="4"/>
        </w:pBdr>
        <w:spacing w:after="160" w:before="320"/>
      </w:pPr>
      <w:r>
        <w:rPr>
          <w:rFonts w:ascii="Montserrat" w:cs="Montserrat" w:eastAsia="Montserrat" w:hAnsi="Montserrat"/>
          <w:b/>
          <w:bCs/>
          <w:color w:val="1B365D"/>
          <w:sz w:val="26"/>
          <w:szCs w:val="26"/>
        </w:rPr>
        <w:t xml:space="preserve">Readiness assessment</w:t>
      </w:r>
    </w:p>
    <w:p>
      <w:pPr>
        <w:spacing w:after="60" w:before="60" w:line="300"/>
      </w:pPr>
      <w:r>
        <w:rPr>
          <w:rFonts w:ascii="Montserrat" w:cs="Montserrat" w:eastAsia="Montserrat" w:hAnsi="Montserrat"/>
          <w:color w:val="1D2939"/>
          <w:sz w:val="20"/>
          <w:szCs w:val="20"/>
        </w:rPr>
        <w:t xml:space="preserve">Laura's pre-pitch answer was 'minor gaps — pitch with caveats.' This section documents what those gaps are so Sebastian can confirm the pitch goes forward with eyes open. Items flagged amber or red should be closed or explicitly caveated before the Philips conversation.</w:t>
      </w:r>
    </w:p>
    <w:p>
      <w:pPr>
        <w:spacing w:after="80" w:before="180"/>
      </w:pPr>
      <w:r>
        <w:rPr>
          <w:sz w:val="10"/>
          <w:szCs w:val="1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shd w:fill="1B365D" w:val="clear"/>
            <w:tcMar>
              <w:top w:type="dxa" w:w="140"/>
              <w:left w:type="dxa" w:w="140"/>
              <w:bottom w:type="dxa" w:w="140"/>
              <w:right w:type="dxa" w:w="140"/>
            </w:tcMar>
          </w:tcPr>
          <w:p>
            <w:r>
              <w:rPr>
                <w:rFonts w:ascii="Montserrat" w:cs="Montserrat" w:eastAsia="Montserrat" w:hAnsi="Montserrat"/>
                <w:b/>
                <w:bCs/>
                <w:color w:val="FFFFFF"/>
                <w:sz w:val="18"/>
                <w:szCs w:val="18"/>
              </w:rPr>
              <w:t xml:space="preserve">Capability</w:t>
            </w:r>
          </w:p>
        </w:tc>
        <w:tc>
          <w:tcPr>
            <w:tcW w:type="dxa" w:w="1800"/>
            <w:shd w:fill="1B365D" w:val="clear"/>
            <w:tcMar>
              <w:top w:type="dxa" w:w="140"/>
              <w:left w:type="dxa" w:w="140"/>
              <w:bottom w:type="dxa" w:w="140"/>
              <w:right w:type="dxa" w:w="140"/>
            </w:tcMar>
          </w:tcPr>
          <w:p>
            <w:pPr>
              <w:jc w:val="center"/>
            </w:pPr>
            <w:r>
              <w:rPr>
                <w:rFonts w:ascii="Montserrat" w:cs="Montserrat" w:eastAsia="Montserrat" w:hAnsi="Montserrat"/>
                <w:b/>
                <w:bCs/>
                <w:color w:val="FFFFFF"/>
                <w:sz w:val="18"/>
                <w:szCs w:val="18"/>
              </w:rPr>
              <w:t xml:space="preserve">Status</w:t>
            </w:r>
          </w:p>
        </w:tc>
        <w:tc>
          <w:tcPr>
            <w:tcW w:type="dxa" w:w="3960"/>
            <w:shd w:fill="1B365D" w:val="clear"/>
            <w:tcMar>
              <w:top w:type="dxa" w:w="140"/>
              <w:left w:type="dxa" w:w="140"/>
              <w:bottom w:type="dxa" w:w="140"/>
              <w:right w:type="dxa" w:w="140"/>
            </w:tcMar>
          </w:tcPr>
          <w:p>
            <w:r>
              <w:rPr>
                <w:rFonts w:ascii="Montserrat" w:cs="Montserrat" w:eastAsia="Montserrat" w:hAnsi="Montserrat"/>
                <w:b/>
                <w:bCs/>
                <w:color w:val="FFFFFF"/>
                <w:sz w:val="18"/>
                <w:szCs w:val="18"/>
              </w:rPr>
              <w:t xml:space="preserve">Action required before pitch</w:t>
            </w:r>
          </w:p>
        </w:tc>
      </w:tr>
      <w:tr>
        <w:tc>
          <w:tcPr>
            <w:tcW w:type="dxa" w:w="3600"/>
            <w:tcMar>
              <w:top w:type="dxa" w:w="120"/>
              <w:left w:type="dxa" w:w="140"/>
              <w:bottom w:type="dxa" w:w="120"/>
              <w:right w:type="dxa" w:w="140"/>
            </w:tcMar>
          </w:tcPr>
          <w:p>
            <w:r>
              <w:rPr>
                <w:rFonts w:ascii="Montserrat" w:cs="Montserrat" w:eastAsia="Montserrat" w:hAnsi="Montserrat"/>
                <w:b/>
                <w:bCs/>
                <w:color w:val="1D2939"/>
                <w:sz w:val="18"/>
                <w:szCs w:val="18"/>
              </w:rPr>
              <w:t xml:space="preserve">SAM.gov registration active</w:t>
            </w:r>
          </w:p>
        </w:tc>
        <w:tc>
          <w:tcPr>
            <w:tcW w:type="dxa" w:w="1800"/>
            <w:shd w:fill="027A48" w:val="clear"/>
            <w:tcMar>
              <w:top w:type="dxa" w:w="120"/>
              <w:left w:type="dxa" w:w="140"/>
              <w:bottom w:type="dxa" w:w="120"/>
              <w:right w:type="dxa" w:w="140"/>
            </w:tcMar>
          </w:tcPr>
          <w:p>
            <w:pPr>
              <w:jc w:val="center"/>
            </w:pPr>
            <w:r>
              <w:rPr>
                <w:rFonts w:ascii="Montserrat" w:cs="Montserrat" w:eastAsia="Montserrat" w:hAnsi="Montserrat"/>
                <w:b/>
                <w:bCs/>
                <w:color w:val="FFFFFF"/>
                <w:sz w:val="18"/>
                <w:szCs w:val="18"/>
              </w:rPr>
              <w:t xml:space="preserve">READY</w:t>
            </w:r>
          </w:p>
        </w:tc>
        <w:tc>
          <w:tcPr>
            <w:tcW w:type="dxa" w:w="3960"/>
            <w:tcMar>
              <w:top w:type="dxa" w:w="120"/>
              <w:left w:type="dxa" w:w="140"/>
              <w:bottom w:type="dxa" w:w="120"/>
              <w:right w:type="dxa" w:w="140"/>
            </w:tcMar>
          </w:tcPr>
          <w:p>
            <w:r>
              <w:rPr>
                <w:rFonts w:ascii="Montserrat" w:cs="Montserrat" w:eastAsia="Montserrat" w:hAnsi="Montserrat"/>
                <w:color w:val="1D2939"/>
                <w:sz w:val="18"/>
                <w:szCs w:val="18"/>
              </w:rPr>
              <w:t xml:space="preserve">Confirm NAICS 423450 medical device codes are on the profile. If not, add before Philips due diligence.</w:t>
            </w:r>
          </w:p>
        </w:tc>
      </w:tr>
      <w:tr>
        <w:tc>
          <w:tcPr>
            <w:tcW w:type="dxa" w:w="3600"/>
            <w:tcMar>
              <w:top w:type="dxa" w:w="120"/>
              <w:left w:type="dxa" w:w="140"/>
              <w:bottom w:type="dxa" w:w="120"/>
              <w:right w:type="dxa" w:w="140"/>
            </w:tcMar>
          </w:tcPr>
          <w:p>
            <w:r>
              <w:rPr>
                <w:rFonts w:ascii="Montserrat" w:cs="Montserrat" w:eastAsia="Montserrat" w:hAnsi="Montserrat"/>
                <w:b/>
                <w:bCs/>
                <w:color w:val="1D2939"/>
                <w:sz w:val="18"/>
                <w:szCs w:val="18"/>
              </w:rPr>
              <w:t xml:space="preserve">Federal procurement experience</w:t>
            </w:r>
          </w:p>
        </w:tc>
        <w:tc>
          <w:tcPr>
            <w:tcW w:type="dxa" w:w="1800"/>
            <w:shd w:fill="B54708" w:val="clear"/>
            <w:tcMar>
              <w:top w:type="dxa" w:w="120"/>
              <w:left w:type="dxa" w:w="140"/>
              <w:bottom w:type="dxa" w:w="120"/>
              <w:right w:type="dxa" w:w="140"/>
            </w:tcMar>
          </w:tcPr>
          <w:p>
            <w:pPr>
              <w:jc w:val="center"/>
            </w:pPr>
            <w:r>
              <w:rPr>
                <w:rFonts w:ascii="Montserrat" w:cs="Montserrat" w:eastAsia="Montserrat" w:hAnsi="Montserrat"/>
                <w:b/>
                <w:bCs/>
                <w:color w:val="FFFFFF"/>
                <w:sz w:val="18"/>
                <w:szCs w:val="18"/>
              </w:rPr>
              <w:t xml:space="preserve">VERIFY</w:t>
            </w:r>
          </w:p>
        </w:tc>
        <w:tc>
          <w:tcPr>
            <w:tcW w:type="dxa" w:w="3960"/>
            <w:tcMar>
              <w:top w:type="dxa" w:w="120"/>
              <w:left w:type="dxa" w:w="140"/>
              <w:bottom w:type="dxa" w:w="120"/>
              <w:right w:type="dxa" w:w="140"/>
            </w:tcMar>
          </w:tcPr>
          <w:p>
            <w:r>
              <w:rPr>
                <w:rFonts w:ascii="Montserrat" w:cs="Montserrat" w:eastAsia="Montserrat" w:hAnsi="Montserrat"/>
                <w:color w:val="1D2939"/>
                <w:sz w:val="18"/>
                <w:szCs w:val="18"/>
              </w:rPr>
              <w:t xml:space="preserve">Document 3 to 5 federal contract examples Sebastian can reference in the meeting. Do not claim healthcare-specific unless documented.</w:t>
            </w:r>
          </w:p>
        </w:tc>
      </w:tr>
      <w:tr>
        <w:tc>
          <w:tcPr>
            <w:tcW w:type="dxa" w:w="3600"/>
            <w:tcMar>
              <w:top w:type="dxa" w:w="120"/>
              <w:left w:type="dxa" w:w="140"/>
              <w:bottom w:type="dxa" w:w="120"/>
              <w:right w:type="dxa" w:w="140"/>
            </w:tcMar>
          </w:tcPr>
          <w:p>
            <w:r>
              <w:rPr>
                <w:rFonts w:ascii="Montserrat" w:cs="Montserrat" w:eastAsia="Montserrat" w:hAnsi="Montserrat"/>
                <w:b/>
                <w:bCs/>
                <w:color w:val="1D2939"/>
                <w:sz w:val="18"/>
                <w:szCs w:val="18"/>
              </w:rPr>
              <w:t xml:space="preserve">Compliance SOPs and audit infrastructure</w:t>
            </w:r>
          </w:p>
        </w:tc>
        <w:tc>
          <w:tcPr>
            <w:tcW w:type="dxa" w:w="1800"/>
            <w:shd w:fill="B54708" w:val="clear"/>
            <w:tcMar>
              <w:top w:type="dxa" w:w="120"/>
              <w:left w:type="dxa" w:w="140"/>
              <w:bottom w:type="dxa" w:w="120"/>
              <w:right w:type="dxa" w:w="140"/>
            </w:tcMar>
          </w:tcPr>
          <w:p>
            <w:pPr>
              <w:jc w:val="center"/>
            </w:pPr>
            <w:r>
              <w:rPr>
                <w:rFonts w:ascii="Montserrat" w:cs="Montserrat" w:eastAsia="Montserrat" w:hAnsi="Montserrat"/>
                <w:b/>
                <w:bCs/>
                <w:color w:val="FFFFFF"/>
                <w:sz w:val="18"/>
                <w:szCs w:val="18"/>
              </w:rPr>
              <w:t xml:space="preserve">VERIFY</w:t>
            </w:r>
          </w:p>
        </w:tc>
        <w:tc>
          <w:tcPr>
            <w:tcW w:type="dxa" w:w="3960"/>
            <w:tcMar>
              <w:top w:type="dxa" w:w="120"/>
              <w:left w:type="dxa" w:w="140"/>
              <w:bottom w:type="dxa" w:w="120"/>
              <w:right w:type="dxa" w:w="140"/>
            </w:tcMar>
          </w:tcPr>
          <w:p>
            <w:r>
              <w:rPr>
                <w:rFonts w:ascii="Montserrat" w:cs="Montserrat" w:eastAsia="Montserrat" w:hAnsi="Montserrat"/>
                <w:color w:val="1D2939"/>
                <w:sz w:val="18"/>
                <w:szCs w:val="18"/>
              </w:rPr>
              <w:t xml:space="preserve">Drafted SOP exists per Sebastian. Confirm it meets federal medical device packaging, traceability, and COC documentation standards. Gap close if not.</w:t>
            </w:r>
          </w:p>
        </w:tc>
      </w:tr>
      <w:tr>
        <w:tc>
          <w:tcPr>
            <w:tcW w:type="dxa" w:w="3600"/>
            <w:tcMar>
              <w:top w:type="dxa" w:w="120"/>
              <w:left w:type="dxa" w:w="140"/>
              <w:bottom w:type="dxa" w:w="120"/>
              <w:right w:type="dxa" w:w="140"/>
            </w:tcMar>
          </w:tcPr>
          <w:p>
            <w:r>
              <w:rPr>
                <w:rFonts w:ascii="Montserrat" w:cs="Montserrat" w:eastAsia="Montserrat" w:hAnsi="Montserrat"/>
                <w:b/>
                <w:bCs/>
                <w:color w:val="1D2939"/>
                <w:sz w:val="18"/>
                <w:szCs w:val="18"/>
              </w:rPr>
              <w:t xml:space="preserve">Dedicated DIBBS execution personnel</w:t>
            </w:r>
          </w:p>
        </w:tc>
        <w:tc>
          <w:tcPr>
            <w:tcW w:type="dxa" w:w="1800"/>
            <w:shd w:fill="B54708" w:val="clear"/>
            <w:tcMar>
              <w:top w:type="dxa" w:w="120"/>
              <w:left w:type="dxa" w:w="140"/>
              <w:bottom w:type="dxa" w:w="120"/>
              <w:right w:type="dxa" w:w="140"/>
            </w:tcMar>
          </w:tcPr>
          <w:p>
            <w:pPr>
              <w:jc w:val="center"/>
            </w:pPr>
            <w:r>
              <w:rPr>
                <w:rFonts w:ascii="Montserrat" w:cs="Montserrat" w:eastAsia="Montserrat" w:hAnsi="Montserrat"/>
                <w:b/>
                <w:bCs/>
                <w:color w:val="FFFFFF"/>
                <w:sz w:val="18"/>
                <w:szCs w:val="18"/>
              </w:rPr>
              <w:t xml:space="preserve">VERIFY</w:t>
            </w:r>
          </w:p>
        </w:tc>
        <w:tc>
          <w:tcPr>
            <w:tcW w:type="dxa" w:w="3960"/>
            <w:tcMar>
              <w:top w:type="dxa" w:w="120"/>
              <w:left w:type="dxa" w:w="140"/>
              <w:bottom w:type="dxa" w:w="120"/>
              <w:right w:type="dxa" w:w="140"/>
            </w:tcMar>
          </w:tcPr>
          <w:p>
            <w:r>
              <w:rPr>
                <w:rFonts w:ascii="Montserrat" w:cs="Montserrat" w:eastAsia="Montserrat" w:hAnsi="Montserrat"/>
                <w:color w:val="1D2939"/>
                <w:sz w:val="18"/>
                <w:szCs w:val="18"/>
              </w:rPr>
              <w:t xml:space="preserve">Kyle (recently hired into the BSC) identified for the role per Sebastian. Externally ready. Internal training and DIBBS-specific onboarding still required before pilot activation.</w:t>
            </w:r>
          </w:p>
        </w:tc>
      </w:tr>
      <w:tr>
        <w:tc>
          <w:tcPr>
            <w:tcW w:type="dxa" w:w="3600"/>
            <w:tcMar>
              <w:top w:type="dxa" w:w="120"/>
              <w:left w:type="dxa" w:w="140"/>
              <w:bottom w:type="dxa" w:w="120"/>
              <w:right w:type="dxa" w:w="140"/>
            </w:tcMar>
          </w:tcPr>
          <w:p>
            <w:r>
              <w:rPr>
                <w:rFonts w:ascii="Montserrat" w:cs="Montserrat" w:eastAsia="Montserrat" w:hAnsi="Montserrat"/>
                <w:b/>
                <w:bCs/>
                <w:color w:val="1D2939"/>
                <w:sz w:val="18"/>
                <w:szCs w:val="18"/>
              </w:rPr>
              <w:t xml:space="preserve">Standing pricing workflow</w:t>
            </w:r>
          </w:p>
        </w:tc>
        <w:tc>
          <w:tcPr>
            <w:tcW w:type="dxa" w:w="1800"/>
            <w:shd w:fill="B42318" w:val="clear"/>
            <w:tcMar>
              <w:top w:type="dxa" w:w="120"/>
              <w:left w:type="dxa" w:w="140"/>
              <w:bottom w:type="dxa" w:w="120"/>
              <w:right w:type="dxa" w:w="140"/>
            </w:tcMar>
          </w:tcPr>
          <w:p>
            <w:pPr>
              <w:jc w:val="center"/>
            </w:pPr>
            <w:r>
              <w:rPr>
                <w:rFonts w:ascii="Montserrat" w:cs="Montserrat" w:eastAsia="Montserrat" w:hAnsi="Montserrat"/>
                <w:b/>
                <w:bCs/>
                <w:color w:val="FFFFFF"/>
                <w:sz w:val="18"/>
                <w:szCs w:val="18"/>
              </w:rPr>
              <w:t xml:space="preserve">GAP</w:t>
            </w:r>
          </w:p>
        </w:tc>
        <w:tc>
          <w:tcPr>
            <w:tcW w:type="dxa" w:w="3960"/>
            <w:tcMar>
              <w:top w:type="dxa" w:w="120"/>
              <w:left w:type="dxa" w:w="140"/>
              <w:bottom w:type="dxa" w:w="120"/>
              <w:right w:type="dxa" w:w="140"/>
            </w:tcMar>
          </w:tcPr>
          <w:p>
            <w:r>
              <w:rPr>
                <w:rFonts w:ascii="Montserrat" w:cs="Montserrat" w:eastAsia="Montserrat" w:hAnsi="Montserrat"/>
                <w:color w:val="1D2939"/>
                <w:sz w:val="18"/>
                <w:szCs w:val="18"/>
              </w:rPr>
              <w:t xml:space="preserve">Depends on Philips providing a pricing index. No internal workflow exists yet. Build only after Philips commits.</w:t>
            </w:r>
          </w:p>
        </w:tc>
      </w:tr>
      <w:tr>
        <w:tc>
          <w:tcPr>
            <w:tcW w:type="dxa" w:w="3600"/>
            <w:tcMar>
              <w:top w:type="dxa" w:w="120"/>
              <w:left w:type="dxa" w:w="140"/>
              <w:bottom w:type="dxa" w:w="120"/>
              <w:right w:type="dxa" w:w="140"/>
            </w:tcMar>
          </w:tcPr>
          <w:p>
            <w:r>
              <w:rPr>
                <w:rFonts w:ascii="Montserrat" w:cs="Montserrat" w:eastAsia="Montserrat" w:hAnsi="Montserrat"/>
                <w:b/>
                <w:bCs/>
                <w:color w:val="1D2939"/>
                <w:sz w:val="18"/>
                <w:szCs w:val="18"/>
              </w:rPr>
              <w:t xml:space="preserve">Training and assessment infrastructure</w:t>
            </w:r>
          </w:p>
        </w:tc>
        <w:tc>
          <w:tcPr>
            <w:tcW w:type="dxa" w:w="1800"/>
            <w:shd w:fill="027A48" w:val="clear"/>
            <w:tcMar>
              <w:top w:type="dxa" w:w="120"/>
              <w:left w:type="dxa" w:w="140"/>
              <w:bottom w:type="dxa" w:w="120"/>
              <w:right w:type="dxa" w:w="140"/>
            </w:tcMar>
          </w:tcPr>
          <w:p>
            <w:pPr>
              <w:jc w:val="center"/>
            </w:pPr>
            <w:r>
              <w:rPr>
                <w:rFonts w:ascii="Montserrat" w:cs="Montserrat" w:eastAsia="Montserrat" w:hAnsi="Montserrat"/>
                <w:b/>
                <w:bCs/>
                <w:color w:val="FFFFFF"/>
                <w:sz w:val="18"/>
                <w:szCs w:val="18"/>
              </w:rPr>
              <w:t xml:space="preserve">READY</w:t>
            </w:r>
          </w:p>
        </w:tc>
        <w:tc>
          <w:tcPr>
            <w:tcW w:type="dxa" w:w="3960"/>
            <w:tcMar>
              <w:top w:type="dxa" w:w="120"/>
              <w:left w:type="dxa" w:w="140"/>
              <w:bottom w:type="dxa" w:w="120"/>
              <w:right w:type="dxa" w:w="140"/>
            </w:tcMar>
          </w:tcPr>
          <w:p>
            <w:r>
              <w:rPr>
                <w:rFonts w:ascii="Montserrat" w:cs="Montserrat" w:eastAsia="Montserrat" w:hAnsi="Montserrat"/>
                <w:color w:val="1D2939"/>
                <w:sz w:val="18"/>
                <w:szCs w:val="18"/>
              </w:rPr>
              <w:t xml:space="preserve">Existing internal training capability can be adapted. No blocker.</w:t>
            </w:r>
          </w:p>
        </w:tc>
      </w:tr>
      <w:tr>
        <w:tc>
          <w:tcPr>
            <w:tcW w:type="dxa" w:w="3600"/>
            <w:tcMar>
              <w:top w:type="dxa" w:w="120"/>
              <w:left w:type="dxa" w:w="140"/>
              <w:bottom w:type="dxa" w:w="120"/>
              <w:right w:type="dxa" w:w="140"/>
            </w:tcMar>
          </w:tcPr>
          <w:p>
            <w:r>
              <w:rPr>
                <w:rFonts w:ascii="Montserrat" w:cs="Montserrat" w:eastAsia="Montserrat" w:hAnsi="Montserrat"/>
                <w:b/>
                <w:bCs/>
                <w:color w:val="1D2939"/>
                <w:sz w:val="18"/>
                <w:szCs w:val="18"/>
              </w:rPr>
              <w:t xml:space="preserve">Healthcare end-customer track record</w:t>
            </w:r>
          </w:p>
        </w:tc>
        <w:tc>
          <w:tcPr>
            <w:tcW w:type="dxa" w:w="1800"/>
            <w:shd w:fill="B42318" w:val="clear"/>
            <w:tcMar>
              <w:top w:type="dxa" w:w="120"/>
              <w:left w:type="dxa" w:w="140"/>
              <w:bottom w:type="dxa" w:w="120"/>
              <w:right w:type="dxa" w:w="140"/>
            </w:tcMar>
          </w:tcPr>
          <w:p>
            <w:pPr>
              <w:jc w:val="center"/>
            </w:pPr>
            <w:r>
              <w:rPr>
                <w:rFonts w:ascii="Montserrat" w:cs="Montserrat" w:eastAsia="Montserrat" w:hAnsi="Montserrat"/>
                <w:b/>
                <w:bCs/>
                <w:color w:val="FFFFFF"/>
                <w:sz w:val="18"/>
                <w:szCs w:val="18"/>
              </w:rPr>
              <w:t xml:space="preserve">GAP</w:t>
            </w:r>
          </w:p>
        </w:tc>
        <w:tc>
          <w:tcPr>
            <w:tcW w:type="dxa" w:w="3960"/>
            <w:tcMar>
              <w:top w:type="dxa" w:w="120"/>
              <w:left w:type="dxa" w:w="140"/>
              <w:bottom w:type="dxa" w:w="120"/>
              <w:right w:type="dxa" w:w="140"/>
            </w:tcMar>
          </w:tcPr>
          <w:p>
            <w:r>
              <w:rPr>
                <w:rFonts w:ascii="Montserrat" w:cs="Montserrat" w:eastAsia="Montserrat" w:hAnsi="Montserrat"/>
                <w:color w:val="1D2939"/>
                <w:sz w:val="18"/>
                <w:szCs w:val="18"/>
              </w:rPr>
              <w:t xml:space="preserve">Do not assert this in the pitch. Current external materials use 'regulated federal channels' as the broader claim. Confirm before sending that no healthcare-specific language has crept back in.</w:t>
            </w:r>
          </w:p>
        </w:tc>
      </w:tr>
    </w:tbl>
    <w:p>
      <w:pPr>
        <w:spacing w:before="120"/>
      </w:pPr>
      <w:r>
        <w:rPr>
          <w:sz w:val="10"/>
          <w:szCs w:val="10"/>
        </w:rPr>
        <w:t xml:space="preserve"> </w:t>
      </w:r>
    </w:p>
    <w:p>
      <w:pPr>
        <w:spacing w:after="60" w:before="60" w:line="300"/>
      </w:pPr>
      <w:r>
        <w:rPr>
          <w:rFonts w:ascii="Montserrat" w:cs="Montserrat" w:eastAsia="Montserrat" w:hAnsi="Montserrat"/>
          <w:color w:val="1D2939"/>
          <w:sz w:val="20"/>
          <w:szCs w:val="20"/>
        </w:rPr>
        <w:t xml:space="preserve">Reading the table: one green, four amber, two red. Down from two green, two amber, three red after Sebastian confirmed Kyle is identified for the DIBBS execution role and the compliance SOP is drafted. None of the reds block the pitch meeting itself, because the pitch asks Philips to co-build the operational infrastructure during a 90-day pilot. They do block pilot activation. Deidre and Sebastian should confirm they are comfortable pitching while Kyle's training is still in progress and the healthcare end-customer track record gap is open.</w:t>
      </w:r>
    </w:p>
    <w:p>
      <w:pPr>
        <w:pBdr>
          <w:bottom w:val="single" w:color="1B365D" w:sz="18" w:space="4"/>
        </w:pBdr>
        <w:spacing w:after="160" w:before="320"/>
      </w:pPr>
      <w:r>
        <w:rPr>
          <w:rFonts w:ascii="Montserrat" w:cs="Montserrat" w:eastAsia="Montserrat" w:hAnsi="Montserrat"/>
          <w:b/>
          <w:bCs/>
          <w:color w:val="1B365D"/>
          <w:sz w:val="26"/>
          <w:szCs w:val="26"/>
        </w:rPr>
        <w:t xml:space="preserve">Internal commitments required before pitch</w:t>
      </w:r>
    </w:p>
    <w:p>
      <w:pPr>
        <w:spacing w:after="60" w:before="60" w:line="300"/>
      </w:pPr>
      <w:r>
        <w:rPr>
          <w:rFonts w:ascii="Montserrat" w:cs="Montserrat" w:eastAsia="Montserrat" w:hAnsi="Montserrat"/>
          <w:color w:val="1D2939"/>
          <w:sz w:val="20"/>
          <w:szCs w:val="20"/>
        </w:rPr>
        <w:t xml:space="preserve">The pitch makes implicit promises to Philips. Before those promises leave the room, the following have to be true inside Envision.</w:t>
      </w:r>
    </w:p>
    <w:p>
      <w:pPr>
        <w:spacing w:after="80" w:before="160"/>
      </w:pPr>
      <w:r>
        <w:rPr>
          <w:rFonts w:ascii="Montserrat" w:cs="Montserrat" w:eastAsia="Montserrat" w:hAnsi="Montserrat"/>
          <w:b/>
          <w:bCs/>
          <w:color w:val="1D2939"/>
          <w:sz w:val="20"/>
          <w:szCs w:val="20"/>
        </w:rPr>
        <w:t xml:space="preserve">1. Deidre owns the commercial relationship; Sebastian supports</w:t>
      </w:r>
    </w:p>
    <w:p>
      <w:pPr>
        <w:spacing w:after="60" w:before="60" w:line="300"/>
      </w:pPr>
      <w:r>
        <w:rPr>
          <w:rFonts w:ascii="Montserrat" w:cs="Montserrat" w:eastAsia="Montserrat" w:hAnsi="Montserrat"/>
          <w:color w:val="1D2939"/>
          <w:sz w:val="20"/>
          <w:szCs w:val="20"/>
        </w:rPr>
        <w:t xml:space="preserve">Deidre is the designated responsible individual on this program. The warm contact at Philips comes through one of her mentors, who has been contracted by Philips on this opportunity. Sebastian (Deidre's leadership) is in the room as change management support and to back her up. Confirm Deidre and Sebastian are both in the room and that Deidre has authority to commit to pilot terms on the call, or the pitch gets rescheduled.</w:t>
      </w:r>
    </w:p>
    <w:p>
      <w:pPr>
        <w:spacing w:after="80" w:before="160"/>
      </w:pPr>
      <w:r>
        <w:rPr>
          <w:rFonts w:ascii="Montserrat" w:cs="Montserrat" w:eastAsia="Montserrat" w:hAnsi="Montserrat"/>
          <w:b/>
          <w:bCs/>
          <w:color w:val="1D2939"/>
          <w:sz w:val="20"/>
          <w:szCs w:val="20"/>
        </w:rPr>
        <w:t xml:space="preserve">2. Envision commits internally to hiring or reassigning the DIBBS execution role</w:t>
      </w:r>
    </w:p>
    <w:p>
      <w:pPr>
        <w:spacing w:after="60" w:before="60" w:line="300"/>
      </w:pPr>
      <w:r>
        <w:rPr>
          <w:rFonts w:ascii="Montserrat" w:cs="Montserrat" w:eastAsia="Montserrat" w:hAnsi="Montserrat"/>
          <w:color w:val="1D2939"/>
          <w:sz w:val="20"/>
          <w:szCs w:val="20"/>
        </w:rPr>
        <w:t xml:space="preserve">This is the single biggest operational risk. The pitch promises 24 to 48 hour DIBBS response. That requires one full-time trained person with capacity to review 10 to 15 opportunities daily. If Envision does not commit to filling this seat within 30 days of a Philips yes, the pilot fails in week two and we burn the relationship.</w:t>
      </w:r>
    </w:p>
    <w:p>
      <w:pPr>
        <w:spacing w:after="80" w:before="160"/>
      </w:pPr>
      <w:r>
        <w:rPr>
          <w:rFonts w:ascii="Montserrat" w:cs="Montserrat" w:eastAsia="Montserrat" w:hAnsi="Montserrat"/>
          <w:b/>
          <w:bCs/>
          <w:color w:val="1D2939"/>
          <w:sz w:val="20"/>
          <w:szCs w:val="20"/>
        </w:rPr>
        <w:t xml:space="preserve">3. Finance signs off on the margin range</w:t>
      </w:r>
    </w:p>
    <w:p>
      <w:pPr>
        <w:spacing w:after="60" w:before="60" w:line="300"/>
      </w:pPr>
      <w:r>
        <w:rPr>
          <w:rFonts w:ascii="Montserrat" w:cs="Montserrat" w:eastAsia="Montserrat" w:hAnsi="Montserrat"/>
          <w:color w:val="1D2939"/>
          <w:sz w:val="20"/>
          <w:szCs w:val="20"/>
        </w:rPr>
        <w:t xml:space="preserve">Per Sebastian (confirmed in review meeting), the 2.5 to 3.5 percent margin range in the original strategy memo was his estimate, not a calculated figure against Envision's cost to execute. Before any specific margin percentage appears in external materials, finance needs to confirm the range covers fully loaded cost per DIBBS transaction, including personnel, compliance overhead, and reporting infrastructure. Until then, external materials should use 'transparent disclosed margin' without a number. If finance confirms the math does not work, either renegotiate upward internally before pitching or position the pilot as a strategic investment with a defined loss ceiling.</w:t>
      </w:r>
    </w:p>
    <w:p>
      <w:pPr>
        <w:spacing w:after="80" w:before="160"/>
      </w:pPr>
      <w:r>
        <w:rPr>
          <w:rFonts w:ascii="Montserrat" w:cs="Montserrat" w:eastAsia="Montserrat" w:hAnsi="Montserrat"/>
          <w:b/>
          <w:bCs/>
          <w:color w:val="1D2939"/>
          <w:sz w:val="20"/>
          <w:szCs w:val="20"/>
        </w:rPr>
        <w:t xml:space="preserve">4. Leadership agrees this is a channel experiment, not a revenue line</w:t>
      </w:r>
    </w:p>
    <w:p>
      <w:pPr>
        <w:spacing w:after="60" w:before="60" w:line="300"/>
      </w:pPr>
      <w:r>
        <w:rPr>
          <w:rFonts w:ascii="Montserrat" w:cs="Montserrat" w:eastAsia="Montserrat" w:hAnsi="Montserrat"/>
          <w:color w:val="1D2939"/>
          <w:sz w:val="20"/>
          <w:szCs w:val="20"/>
        </w:rPr>
        <w:t xml:space="preserve">The pilot is a 90-day proof-of-concept. It will not produce material revenue during the pilot window. Internal expectations must match this. If anyone upstream is treating this as a revenue forecast line for the quarter, that needs to be corrected before the pitch.</w:t>
      </w:r>
    </w:p>
    <w:p>
      <w:pPr>
        <w:pBdr>
          <w:bottom w:val="single" w:color="1B365D" w:sz="18" w:space="4"/>
        </w:pBdr>
        <w:spacing w:after="160" w:before="320"/>
      </w:pPr>
      <w:r>
        <w:rPr>
          <w:rFonts w:ascii="Montserrat" w:cs="Montserrat" w:eastAsia="Montserrat" w:hAnsi="Montserrat"/>
          <w:b/>
          <w:bCs/>
          <w:color w:val="1B365D"/>
          <w:sz w:val="26"/>
          <w:szCs w:val="26"/>
        </w:rPr>
        <w:t xml:space="preserve">Known gaps and proposed fixes</w:t>
      </w:r>
    </w:p>
    <w:p>
      <w:pPr>
        <w:spacing w:after="60" w:before="60" w:line="300"/>
      </w:pPr>
      <w:r>
        <w:rPr>
          <w:rFonts w:ascii="Montserrat" w:cs="Montserrat" w:eastAsia="Montserrat" w:hAnsi="Montserrat"/>
          <w:color w:val="1D2939"/>
          <w:sz w:val="20"/>
          <w:szCs w:val="20"/>
        </w:rPr>
        <w:t xml:space="preserve">These are the structural weaknesses in the original strategy document. Each is paired with the fix we recommend negotiating with Philips during the pitch.</w:t>
      </w:r>
    </w:p>
    <w:p>
      <w:pPr>
        <w:spacing w:after="80" w:before="160"/>
      </w:pPr>
      <w:r>
        <w:rPr>
          <w:rFonts w:ascii="Montserrat" w:cs="Montserrat" w:eastAsia="Montserrat" w:hAnsi="Montserrat"/>
          <w:b/>
          <w:bCs/>
          <w:color w:val="B42318"/>
          <w:sz w:val="20"/>
          <w:szCs w:val="20"/>
        </w:rPr>
        <w:t xml:space="preserve">Gap 1: No enforcement mechanism for channel exclusivity</w:t>
      </w:r>
    </w:p>
    <w:p>
      <w:pPr>
        <w:spacing w:after="60" w:before="60" w:line="300"/>
      </w:pPr>
      <w:r>
        <w:rPr>
          <w:rFonts w:ascii="Montserrat" w:cs="Montserrat" w:eastAsia="Montserrat" w:hAnsi="Montserrat"/>
          <w:b/>
          <w:bCs/>
          <w:color w:val="1D2939"/>
          <w:sz w:val="20"/>
          <w:szCs w:val="20"/>
        </w:rPr>
        <w:t xml:space="preserve">Problem: </w:t>
      </w:r>
      <w:r>
        <w:rPr>
          <w:rFonts w:ascii="Montserrat" w:cs="Montserrat" w:eastAsia="Montserrat" w:hAnsi="Montserrat"/>
          <w:color w:val="1D2939"/>
          <w:sz w:val="20"/>
          <w:szCs w:val="20"/>
        </w:rPr>
        <w:t xml:space="preserve">Philips can say Envision is our preferred partner and still supply pricing to ten other resellers who undercut on DIBBS.</w:t>
      </w:r>
    </w:p>
    <w:p>
      <w:pPr>
        <w:spacing w:after="60" w:before="60" w:line="300"/>
      </w:pPr>
      <w:r>
        <w:rPr>
          <w:rFonts w:ascii="Montserrat" w:cs="Montserrat" w:eastAsia="Montserrat" w:hAnsi="Montserrat"/>
          <w:b/>
          <w:bCs/>
          <w:color w:val="1D2939"/>
          <w:sz w:val="20"/>
          <w:szCs w:val="20"/>
        </w:rPr>
        <w:t xml:space="preserve">Fix: </w:t>
      </w:r>
      <w:r>
        <w:rPr>
          <w:rFonts w:ascii="Montserrat" w:cs="Montserrat" w:eastAsia="Montserrat" w:hAnsi="Montserrat"/>
          <w:color w:val="1D2939"/>
          <w:sz w:val="20"/>
          <w:szCs w:val="20"/>
        </w:rPr>
        <w:t xml:space="preserve">Negotiate tiered pricing where Envision gets a documented margin advantage, or SKU-level exclusivity on defined consumable lines, or a formal pilot period with exclusive DIBBS representation for specific product codes. This is ask number two in the external deck.</w:t>
      </w:r>
    </w:p>
    <w:p>
      <w:pPr>
        <w:spacing w:after="80" w:before="160"/>
      </w:pPr>
      <w:r>
        <w:rPr>
          <w:rFonts w:ascii="Montserrat" w:cs="Montserrat" w:eastAsia="Montserrat" w:hAnsi="Montserrat"/>
          <w:b/>
          <w:bCs/>
          <w:color w:val="B42318"/>
          <w:sz w:val="20"/>
          <w:szCs w:val="20"/>
        </w:rPr>
        <w:t xml:space="preserve">Gap 2: Pricing opacity</w:t>
      </w:r>
    </w:p>
    <w:p>
      <w:pPr>
        <w:spacing w:after="60" w:before="60" w:line="300"/>
      </w:pPr>
      <w:r>
        <w:rPr>
          <w:rFonts w:ascii="Montserrat" w:cs="Montserrat" w:eastAsia="Montserrat" w:hAnsi="Montserrat"/>
          <w:b/>
          <w:bCs/>
          <w:color w:val="1D2939"/>
          <w:sz w:val="20"/>
          <w:szCs w:val="20"/>
        </w:rPr>
        <w:t xml:space="preserve">Problem: </w:t>
      </w:r>
      <w:r>
        <w:rPr>
          <w:rFonts w:ascii="Montserrat" w:cs="Montserrat" w:eastAsia="Montserrat" w:hAnsi="Montserrat"/>
          <w:color w:val="1D2939"/>
          <w:sz w:val="20"/>
          <w:szCs w:val="20"/>
        </w:rPr>
        <w:t xml:space="preserve">Envision requests pricing from Philips but has no visibility into whether that pricing is competitive versus what other resellers receive.</w:t>
      </w:r>
    </w:p>
    <w:p>
      <w:pPr>
        <w:spacing w:after="60" w:before="60" w:line="300"/>
      </w:pPr>
      <w:r>
        <w:rPr>
          <w:rFonts w:ascii="Montserrat" w:cs="Montserrat" w:eastAsia="Montserrat" w:hAnsi="Montserrat"/>
          <w:b/>
          <w:bCs/>
          <w:color w:val="1D2939"/>
          <w:sz w:val="20"/>
          <w:szCs w:val="20"/>
        </w:rPr>
        <w:t xml:space="preserve">Fix: </w:t>
      </w:r>
      <w:r>
        <w:rPr>
          <w:rFonts w:ascii="Montserrat" w:cs="Montserrat" w:eastAsia="Montserrat" w:hAnsi="Montserrat"/>
          <w:color w:val="1D2939"/>
          <w:sz w:val="20"/>
          <w:szCs w:val="20"/>
        </w:rPr>
        <w:t xml:space="preserve">A standing monthly or quarterly pricing index with a transparent disclosed margin. This is ask number one in the external deck and the single most important operational commitment Philips needs to make.</w:t>
      </w:r>
    </w:p>
    <w:p>
      <w:pPr>
        <w:spacing w:after="80" w:before="160"/>
      </w:pPr>
      <w:r>
        <w:rPr>
          <w:rFonts w:ascii="Montserrat" w:cs="Montserrat" w:eastAsia="Montserrat" w:hAnsi="Montserrat"/>
          <w:b/>
          <w:bCs/>
          <w:color w:val="B42318"/>
          <w:sz w:val="20"/>
          <w:szCs w:val="20"/>
        </w:rPr>
        <w:t xml:space="preserve">Gap 3: Slow OEM response time kills bids</w:t>
      </w:r>
    </w:p>
    <w:p>
      <w:pPr>
        <w:spacing w:after="60" w:before="60" w:line="300"/>
      </w:pPr>
      <w:r>
        <w:rPr>
          <w:rFonts w:ascii="Montserrat" w:cs="Montserrat" w:eastAsia="Montserrat" w:hAnsi="Montserrat"/>
          <w:b/>
          <w:bCs/>
          <w:color w:val="1D2939"/>
          <w:sz w:val="20"/>
          <w:szCs w:val="20"/>
        </w:rPr>
        <w:t xml:space="preserve">Problem: </w:t>
      </w:r>
      <w:r>
        <w:rPr>
          <w:rFonts w:ascii="Montserrat" w:cs="Montserrat" w:eastAsia="Montserrat" w:hAnsi="Montserrat"/>
          <w:color w:val="1D2939"/>
          <w:sz w:val="20"/>
          <w:szCs w:val="20"/>
        </w:rPr>
        <w:t xml:space="preserve">DIBBS solicitations close fast. If Philips takes three or more days to respond with pricing on an ad-hoc request, Envision misses the window.</w:t>
      </w:r>
    </w:p>
    <w:p>
      <w:pPr>
        <w:spacing w:after="60" w:before="60" w:line="300"/>
      </w:pPr>
      <w:r>
        <w:rPr>
          <w:rFonts w:ascii="Montserrat" w:cs="Montserrat" w:eastAsia="Montserrat" w:hAnsi="Montserrat"/>
          <w:b/>
          <w:bCs/>
          <w:color w:val="1D2939"/>
          <w:sz w:val="20"/>
          <w:szCs w:val="20"/>
        </w:rPr>
        <w:t xml:space="preserve">Fix: </w:t>
      </w:r>
      <w:r>
        <w:rPr>
          <w:rFonts w:ascii="Montserrat" w:cs="Montserrat" w:eastAsia="Montserrat" w:hAnsi="Montserrat"/>
          <w:color w:val="1D2939"/>
          <w:sz w:val="20"/>
          <w:szCs w:val="20"/>
        </w:rPr>
        <w:t xml:space="preserve">Pre-negotiated standing pricing on top 50 SKUs, plus a dedicated Philips contact with a 24 hour response SLA for any clarification needed inside an active bid window. This is ask number three in the external deck.</w:t>
      </w:r>
    </w:p>
    <w:p>
      <w:pPr>
        <w:spacing w:after="80" w:before="160"/>
      </w:pPr>
      <w:r>
        <w:rPr>
          <w:rFonts w:ascii="Montserrat" w:cs="Montserrat" w:eastAsia="Montserrat" w:hAnsi="Montserrat"/>
          <w:b/>
          <w:bCs/>
          <w:color w:val="B54708"/>
          <w:sz w:val="20"/>
          <w:szCs w:val="20"/>
        </w:rPr>
        <w:t xml:space="preserve">Gap 4: Internal execution capacity (mostly closed)</w:t>
      </w:r>
    </w:p>
    <w:p>
      <w:pPr>
        <w:spacing w:after="60" w:before="60" w:line="300"/>
      </w:pPr>
      <w:r>
        <w:rPr>
          <w:rFonts w:ascii="Montserrat" w:cs="Montserrat" w:eastAsia="Montserrat" w:hAnsi="Montserrat"/>
          <w:b/>
          <w:bCs/>
          <w:color w:val="1D2939"/>
          <w:sz w:val="20"/>
          <w:szCs w:val="20"/>
        </w:rPr>
        <w:t xml:space="preserve">Problem: </w:t>
      </w:r>
      <w:r>
        <w:rPr>
          <w:rFonts w:ascii="Montserrat" w:cs="Montserrat" w:eastAsia="Montserrat" w:hAnsi="Montserrat"/>
          <w:color w:val="1D2939"/>
          <w:sz w:val="20"/>
          <w:szCs w:val="20"/>
        </w:rPr>
        <w:t xml:space="preserve">This was previously the largest internal gap. Per Sebastian, Kyle (recently hired into the BSC) is identified for the DIBBS execution role. Externally Envision can claim the role is filled. Internally, training and DIBBS-specific onboarding still need to happen before live execution.</w:t>
      </w:r>
    </w:p>
    <w:p>
      <w:pPr>
        <w:spacing w:after="60" w:before="60" w:line="300"/>
      </w:pPr>
      <w:r>
        <w:rPr>
          <w:rFonts w:ascii="Montserrat" w:cs="Montserrat" w:eastAsia="Montserrat" w:hAnsi="Montserrat"/>
          <w:b/>
          <w:bCs/>
          <w:color w:val="1D2939"/>
          <w:sz w:val="20"/>
          <w:szCs w:val="20"/>
        </w:rPr>
        <w:t xml:space="preserve">Fix: </w:t>
      </w:r>
      <w:r>
        <w:rPr>
          <w:rFonts w:ascii="Montserrat" w:cs="Montserrat" w:eastAsia="Montserrat" w:hAnsi="Montserrat"/>
          <w:color w:val="1D2939"/>
          <w:sz w:val="20"/>
          <w:szCs w:val="20"/>
        </w:rPr>
        <w:t xml:space="preserve">Confirm Kyle's training timeline with Sebastian. Build a DIBBS-specific onboarding plan that completes before pilot activation. Do not activate the pilot until training is complete.</w:t>
      </w:r>
    </w:p>
    <w:p>
      <w:pPr>
        <w:shd w:fill="B42318" w:val="clear"/>
        <w:spacing w:after="0" w:before="180"/>
      </w:pPr>
      <w:r>
        <w:rPr>
          <w:sz w:val="20"/>
          <w:szCs w:val="20"/>
        </w:rPr>
        <w:t xml:space="preserve">  </w:t>
      </w:r>
      <w:r>
        <w:rPr>
          <w:rFonts w:ascii="Montserrat" w:cs="Montserrat" w:eastAsia="Montserrat" w:hAnsi="Montserrat"/>
          <w:b/>
          <w:bCs/>
          <w:color w:val="FFFFFF"/>
          <w:sz w:val="20"/>
          <w:szCs w:val="20"/>
        </w:rPr>
        <w:t xml:space="preserve">WHAT KILLS THIS DEAL</w:t>
      </w:r>
    </w:p>
    <w:p>
      <w:pPr>
        <w:shd w:fill="B42318" w:val="clear"/>
        <w:spacing w:after="180" w:before="0" w:line="280"/>
      </w:pPr>
      <w:r>
        <w:rPr>
          <w:sz w:val="20"/>
          <w:szCs w:val="20"/>
        </w:rPr>
        <w:t xml:space="preserve">  </w:t>
      </w:r>
      <w:r>
        <w:rPr>
          <w:rFonts w:ascii="Montserrat" w:cs="Montserrat" w:eastAsia="Montserrat" w:hAnsi="Montserrat"/>
          <w:color w:val="FFFFFF"/>
          <w:sz w:val="20"/>
          <w:szCs w:val="20"/>
        </w:rPr>
        <w:t xml:space="preserve">The model fails if: Philips treats Envision as one of many resellers with identical terms and no pricing advantage. Philips cannot provide standing pricing and forces ad-hoc requests that kill response speed. Competitors consistently underbid by 10+ percent and execute without compliance issues. Or the SOP becomes operational theater without strategic differentiation or measurable value to Philips.</w:t>
      </w:r>
    </w:p>
    <w:p>
      <w:pPr>
        <w:pBdr>
          <w:bottom w:val="single" w:color="1B365D" w:sz="18" w:space="4"/>
        </w:pBdr>
        <w:spacing w:after="160" w:before="320"/>
      </w:pPr>
      <w:r>
        <w:rPr>
          <w:rFonts w:ascii="Montserrat" w:cs="Montserrat" w:eastAsia="Montserrat" w:hAnsi="Montserrat"/>
          <w:b/>
          <w:bCs/>
          <w:color w:val="1B365D"/>
          <w:sz w:val="26"/>
          <w:szCs w:val="26"/>
        </w:rPr>
        <w:t xml:space="preserve">What we deliberately do not lead with</w:t>
      </w:r>
    </w:p>
    <w:p>
      <w:pPr>
        <w:spacing w:after="60" w:before="60" w:line="300"/>
      </w:pPr>
      <w:r>
        <w:rPr>
          <w:rFonts w:ascii="Montserrat" w:cs="Montserrat" w:eastAsia="Montserrat" w:hAnsi="Montserrat"/>
          <w:color w:val="1D2939"/>
          <w:sz w:val="20"/>
          <w:szCs w:val="20"/>
        </w:rPr>
        <w:t xml:space="preserve">Envision's mission work, BVI workforce model, and nonprofit identity are not in the external one-pager or the pitch deck. This is intentional and should stay intentional. Here is why.</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Philips is a commercial OEM. </w:t>
      </w:r>
      <w:r>
        <w:rPr>
          <w:rFonts w:ascii="Montserrat" w:cs="Montserrat" w:eastAsia="Montserrat" w:hAnsi="Montserrat"/>
          <w:color w:val="1D2939"/>
          <w:sz w:val="20"/>
          <w:szCs w:val="20"/>
        </w:rPr>
        <w:t xml:space="preserve">Their federal channel decisions are made by procurement and commercial operations leaders who evaluate vendors on execution, compliance, and channel discipline. Mission-led positioning reads as a distraction in that room and can actively undermine credibility.</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The BVI workforce is a Phase 2 asset, not a Phase 1 selling point. </w:t>
      </w:r>
      <w:r>
        <w:rPr>
          <w:rFonts w:ascii="Montserrat" w:cs="Montserrat" w:eastAsia="Montserrat" w:hAnsi="Montserrat"/>
          <w:color w:val="1D2939"/>
          <w:sz w:val="20"/>
          <w:szCs w:val="20"/>
        </w:rPr>
        <w:t xml:space="preserve">Once the pilot proves Envision can execute at federal speed and compliance standards, transitioning appropriate roles to BVI-certified workforce becomes a CSR value-add for Philips. Leading with it puts the cart before the horse.</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Business first, mission second. </w:t>
      </w:r>
      <w:r>
        <w:rPr>
          <w:rFonts w:ascii="Montserrat" w:cs="Montserrat" w:eastAsia="Montserrat" w:hAnsi="Montserrat"/>
          <w:color w:val="1D2939"/>
          <w:sz w:val="20"/>
          <w:szCs w:val="20"/>
        </w:rPr>
        <w:t xml:space="preserve">This is Envision's commercial brand standard and it applies here without exception. If anyone internally pushes to add mission language to the Philips materials, redirect them to this brief.</w:t>
      </w:r>
    </w:p>
    <w:p>
      <w:pPr>
        <w:pBdr>
          <w:bottom w:val="single" w:color="1B365D" w:sz="18" w:space="4"/>
        </w:pBdr>
        <w:spacing w:after="160" w:before="320"/>
      </w:pPr>
      <w:r>
        <w:rPr>
          <w:rFonts w:ascii="Montserrat" w:cs="Montserrat" w:eastAsia="Montserrat" w:hAnsi="Montserrat"/>
          <w:b/>
          <w:bCs/>
          <w:color w:val="1B365D"/>
          <w:sz w:val="26"/>
          <w:szCs w:val="26"/>
        </w:rPr>
        <w:t xml:space="preserve">Phase 2: what we unlock if the pilot works</w:t>
      </w:r>
    </w:p>
    <w:p>
      <w:pPr>
        <w:spacing w:after="60" w:before="60" w:line="300"/>
      </w:pPr>
      <w:r>
        <w:rPr>
          <w:rFonts w:ascii="Montserrat" w:cs="Montserrat" w:eastAsia="Montserrat" w:hAnsi="Montserrat"/>
          <w:color w:val="1D2939"/>
          <w:sz w:val="20"/>
          <w:szCs w:val="20"/>
        </w:rPr>
        <w:t xml:space="preserve">The pilot is a foot in the door. The strategic value is what Phase 2 enables, not the pilot revenue itself. Internal alignment on the Phase 2 vision matters because it shapes how we negotiate pilot terms.</w:t>
      </w:r>
    </w:p>
    <w:p>
      <w:pPr>
        <w:pStyle w:val="ListParagraph"/>
        <w:numPr>
          <w:ilvl w:val="0"/>
          <w:numId w:val="2"/>
        </w:numPr>
        <w:spacing w:after="40" w:before="40" w:line="280"/>
      </w:pPr>
      <w:r>
        <w:rPr>
          <w:rFonts w:ascii="Montserrat" w:cs="Montserrat" w:eastAsia="Montserrat" w:hAnsi="Montserrat"/>
          <w:color w:val="1D2939"/>
          <w:sz w:val="20"/>
          <w:szCs w:val="20"/>
        </w:rPr>
        <w:t xml:space="preserve">Expansion from consumables to additional Philips product lines including imaging accessories, diagnostic consumables, and other federal-facing categories</w:t>
      </w:r>
    </w:p>
    <w:p>
      <w:pPr>
        <w:pStyle w:val="ListParagraph"/>
        <w:numPr>
          <w:ilvl w:val="0"/>
          <w:numId w:val="2"/>
        </w:numPr>
        <w:spacing w:after="40" w:before="40" w:line="280"/>
      </w:pPr>
      <w:r>
        <w:rPr>
          <w:rFonts w:ascii="Montserrat" w:cs="Montserrat" w:eastAsia="Montserrat" w:hAnsi="Montserrat"/>
          <w:color w:val="1D2939"/>
          <w:sz w:val="20"/>
          <w:szCs w:val="20"/>
        </w:rPr>
        <w:t xml:space="preserve">Transition of appropriate execution roles to BVI-certified workforce once operational quality is proven, adding a CSR layer Philips can use in its own reporting</w:t>
      </w:r>
    </w:p>
    <w:p>
      <w:pPr>
        <w:pStyle w:val="ListParagraph"/>
        <w:numPr>
          <w:ilvl w:val="0"/>
          <w:numId w:val="2"/>
        </w:numPr>
        <w:spacing w:after="40" w:before="40" w:line="280"/>
      </w:pPr>
      <w:r>
        <w:rPr>
          <w:rFonts w:ascii="Montserrat" w:cs="Montserrat" w:eastAsia="Montserrat" w:hAnsi="Montserrat"/>
          <w:color w:val="1D2939"/>
          <w:sz w:val="20"/>
          <w:szCs w:val="20"/>
        </w:rPr>
        <w:t xml:space="preserve">Repeatable channel control platform extended to three or four additional OEMs already identified, turning a single pilot into a repeatable product</w:t>
      </w:r>
    </w:p>
    <w:p>
      <w:pPr>
        <w:pStyle w:val="ListParagraph"/>
        <w:numPr>
          <w:ilvl w:val="0"/>
          <w:numId w:val="2"/>
        </w:numPr>
        <w:spacing w:after="40" w:before="40" w:line="280"/>
      </w:pPr>
      <w:r>
        <w:rPr>
          <w:rFonts w:ascii="Montserrat" w:cs="Montserrat" w:eastAsia="Montserrat" w:hAnsi="Montserrat"/>
          <w:color w:val="1D2939"/>
          <w:sz w:val="20"/>
          <w:szCs w:val="20"/>
        </w:rPr>
        <w:t xml:space="preserve">Standing demand intelligence feed to Philips that informs product planning, not just sales execution</w:t>
      </w:r>
    </w:p>
    <w:p>
      <w:pPr>
        <w:pBdr>
          <w:bottom w:val="single" w:color="1B365D" w:sz="18" w:space="4"/>
        </w:pBdr>
        <w:spacing w:after="160" w:before="320"/>
      </w:pPr>
      <w:r>
        <w:rPr>
          <w:rFonts w:ascii="Montserrat" w:cs="Montserrat" w:eastAsia="Montserrat" w:hAnsi="Montserrat"/>
          <w:b/>
          <w:bCs/>
          <w:color w:val="1B365D"/>
          <w:sz w:val="26"/>
          <w:szCs w:val="26"/>
        </w:rPr>
        <w:t xml:space="preserve">Decision required</w:t>
      </w:r>
    </w:p>
    <w:p>
      <w:pPr>
        <w:spacing w:after="60" w:before="60" w:line="300"/>
      </w:pPr>
      <w:r>
        <w:rPr>
          <w:rFonts w:ascii="Montserrat" w:cs="Montserrat" w:eastAsia="Montserrat" w:hAnsi="Montserrat"/>
          <w:color w:val="1D2939"/>
          <w:sz w:val="20"/>
          <w:szCs w:val="20"/>
        </w:rPr>
        <w:t xml:space="preserve">Before the Philips pitch goes forward, leadership needs to confirm three things:</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1. We commit to the execution hire. </w:t>
      </w:r>
      <w:r>
        <w:rPr>
          <w:rFonts w:ascii="Montserrat" w:cs="Montserrat" w:eastAsia="Montserrat" w:hAnsi="Montserrat"/>
          <w:color w:val="1D2939"/>
          <w:sz w:val="20"/>
          <w:szCs w:val="20"/>
        </w:rPr>
        <w:t xml:space="preserve">If Philips says yes, we fill the DIBBS execution seat within 30 days. No exceptions.</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2. We commit to the margin range. </w:t>
      </w:r>
      <w:r>
        <w:rPr>
          <w:rFonts w:ascii="Montserrat" w:cs="Montserrat" w:eastAsia="Montserrat" w:hAnsi="Montserrat"/>
          <w:color w:val="1D2939"/>
          <w:sz w:val="20"/>
          <w:szCs w:val="20"/>
        </w:rPr>
        <w:t xml:space="preserve">Per Sebastian, the 2.5 to 3.5 percent figure was his estimate. Finance needs to sign off that the range covers fully loaded cost before any specific percentage goes into external materials. Until then, external language stays as 'transparent disclosed margin' without a number.</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3. We treat this as a 90-day experiment. </w:t>
      </w:r>
      <w:r>
        <w:rPr>
          <w:rFonts w:ascii="Montserrat" w:cs="Montserrat" w:eastAsia="Montserrat" w:hAnsi="Montserrat"/>
          <w:color w:val="1D2939"/>
          <w:sz w:val="20"/>
          <w:szCs w:val="20"/>
        </w:rPr>
        <w:t xml:space="preserve">Not a revenue forecast. Not a guaranteed partnership. An experiment with a clear kill-or-scale decision gate at day 90.</w:t>
      </w:r>
    </w:p>
    <w:p>
      <w:pPr>
        <w:spacing w:after="60" w:before="60" w:line="300"/>
      </w:pPr>
      <w:r>
        <w:rPr>
          <w:rFonts w:ascii="Montserrat" w:cs="Montserrat" w:eastAsia="Montserrat" w:hAnsi="Montserrat"/>
          <w:color w:val="1D2939"/>
          <w:sz w:val="20"/>
          <w:szCs w:val="20"/>
        </w:rPr>
        <w:t xml:space="preserve">If any of the three is not a clear yes, the pitch does not go forward in its current form. We either close the gap, adjust the ask, or pivot to a different OEM with better structural alignment.</w:t>
      </w:r>
    </w:p>
    <w:p>
      <w:pPr>
        <w:pBdr>
          <w:bottom w:val="single" w:color="1B365D" w:sz="18" w:space="4"/>
        </w:pBdr>
        <w:spacing w:after="160" w:before="320"/>
      </w:pPr>
      <w:r>
        <w:rPr>
          <w:rFonts w:ascii="Montserrat" w:cs="Montserrat" w:eastAsia="Montserrat" w:hAnsi="Montserrat"/>
          <w:b/>
          <w:bCs/>
          <w:color w:val="1B365D"/>
          <w:sz w:val="26"/>
          <w:szCs w:val="26"/>
        </w:rPr>
        <w:t xml:space="preserve">Appendix: open questions for Deidre and Sebastian</w:t>
      </w:r>
    </w:p>
    <w:p>
      <w:pPr>
        <w:pStyle w:val="ListParagraph"/>
        <w:numPr>
          <w:ilvl w:val="0"/>
          <w:numId w:val="2"/>
        </w:numPr>
        <w:spacing w:after="40" w:before="40" w:line="280"/>
      </w:pPr>
      <w:r>
        <w:rPr>
          <w:rFonts w:ascii="Montserrat" w:cs="Montserrat" w:eastAsia="Montserrat" w:hAnsi="Montserrat"/>
          <w:color w:val="1D2939"/>
          <w:sz w:val="20"/>
          <w:szCs w:val="20"/>
        </w:rPr>
        <w:t xml:space="preserve">Who specifically at Philips are we pitching? Federal channel director, procurement operations, or commercial ops? The deck ask on slide 7 should be tuned to whoever holds pilot approval authority.</w:t>
      </w:r>
    </w:p>
    <w:p>
      <w:pPr>
        <w:pStyle w:val="ListParagraph"/>
        <w:numPr>
          <w:ilvl w:val="0"/>
          <w:numId w:val="2"/>
        </w:numPr>
        <w:spacing w:after="40" w:before="40" w:line="280"/>
      </w:pPr>
      <w:r>
        <w:rPr>
          <w:rFonts w:ascii="Montserrat" w:cs="Montserrat" w:eastAsia="Montserrat" w:hAnsi="Montserrat"/>
          <w:color w:val="1D2939"/>
          <w:sz w:val="20"/>
          <w:szCs w:val="20"/>
        </w:rPr>
        <w:t xml:space="preserve">Do we have a warm introduction or are we cold outreaching? This changes the opening of the pitch significantly.</w:t>
      </w:r>
    </w:p>
    <w:p>
      <w:pPr>
        <w:pStyle w:val="ListParagraph"/>
        <w:numPr>
          <w:ilvl w:val="0"/>
          <w:numId w:val="2"/>
        </w:numPr>
        <w:spacing w:after="40" w:before="40" w:line="280"/>
      </w:pPr>
      <w:r>
        <w:rPr>
          <w:rFonts w:ascii="Montserrat" w:cs="Montserrat" w:eastAsia="Montserrat" w:hAnsi="Montserrat"/>
          <w:color w:val="1D2939"/>
          <w:sz w:val="20"/>
          <w:szCs w:val="20"/>
        </w:rPr>
        <w:t xml:space="preserve">What is our fallback OEM if Philips passes? Having a named alternative in our pocket strengthens our position in the Philips conversation.</w:t>
      </w:r>
    </w:p>
    <w:p>
      <w:pPr>
        <w:pStyle w:val="ListParagraph"/>
        <w:numPr>
          <w:ilvl w:val="0"/>
          <w:numId w:val="2"/>
        </w:numPr>
        <w:spacing w:after="40" w:before="40" w:line="280"/>
      </w:pPr>
      <w:r>
        <w:rPr>
          <w:rFonts w:ascii="Montserrat" w:cs="Montserrat" w:eastAsia="Montserrat" w:hAnsi="Montserrat"/>
          <w:color w:val="1D2939"/>
          <w:sz w:val="20"/>
          <w:szCs w:val="20"/>
        </w:rPr>
        <w:t xml:space="preserve">Per Sebastian, the 2.6 awards per day figure was calculated by him from a SAM.gov scrape of Philips federal consumables award history. The current external deck presents this figure with attribution to 'Envision's analysis of public DIBBS award history' and does not annualize it. Confirm the time period of the scrape (calendar year, fiscal year, trailing 12 months) before the pitch so Deidre and Sebastian are ready if Philips asks about the source.</w:t>
      </w:r>
    </w:p>
    <w:p>
      <w:pPr>
        <w:pStyle w:val="ListParagraph"/>
        <w:numPr>
          <w:ilvl w:val="0"/>
          <w:numId w:val="2"/>
        </w:numPr>
        <w:spacing w:after="40" w:before="40" w:line="280"/>
      </w:pPr>
      <w:r>
        <w:rPr>
          <w:rFonts w:ascii="Montserrat" w:cs="Montserrat" w:eastAsia="Montserrat" w:hAnsi="Montserrat"/>
          <w:color w:val="1D2939"/>
          <w:sz w:val="20"/>
          <w:szCs w:val="20"/>
        </w:rPr>
        <w:t xml:space="preserve">Per Sebastian, the 15+ uncoordinated resellers figure comes from the same SAM.gov scrape and reflects distinct reseller vendors currently bidding on Philips consumables on DIBBS. Confirm the time period and the exact count (15 is the floor, not the precise number) before adding citation language to external materials.</w:t>
      </w:r>
    </w:p>
    <w:p>
      <w:pPr>
        <w:pStyle w:val="ListParagraph"/>
        <w:numPr>
          <w:ilvl w:val="0"/>
          <w:numId w:val="2"/>
        </w:numPr>
        <w:spacing w:after="40" w:before="40" w:line="280"/>
      </w:pPr>
      <w:r>
        <w:rPr>
          <w:rFonts w:ascii="Montserrat" w:cs="Montserrat" w:eastAsia="Montserrat" w:hAnsi="Montserrat"/>
          <w:color w:val="1D2939"/>
          <w:sz w:val="20"/>
          <w:szCs w:val="20"/>
        </w:rPr>
        <w:t xml:space="preserve">Who owns pilot scorecard construction if Philips says yes? This should be named internally before the meeting, not assigned reactively after.</w:t>
      </w:r>
    </w:p>
    <w:p>
      <w:pPr>
        <w:pBdr>
          <w:top w:val="single" w:color="1B365D" w:sz="6" w:space="8"/>
        </w:pBdr>
        <w:spacing w:before="480"/>
        <w:jc w:val="center"/>
      </w:pPr>
      <w:r>
        <w:rPr>
          <w:rFonts w:ascii="Montserrat" w:cs="Montserrat" w:eastAsia="Montserrat" w:hAnsi="Montserrat"/>
          <w:i/>
          <w:iCs/>
          <w:color w:val="667085"/>
          <w:sz w:val="14"/>
          <w:szCs w:val="14"/>
        </w:rPr>
        <w:t xml:space="preserve">Envision Inc.  |  Internal strategy brief  |  Not for external distribution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293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OEM Gateway — Internal Strategy Brief</dc:title>
  <dc:creator>Envision Inc.</dc:creator>
  <cp:lastModifiedBy>Un-named</cp:lastModifiedBy>
  <cp:revision>1</cp:revision>
  <dcterms:created xsi:type="dcterms:W3CDTF">2026-04-08T15:57:49.437Z</dcterms:created>
  <dcterms:modified xsi:type="dcterms:W3CDTF">2026-04-08T15:57:49.438Z</dcterms:modified>
</cp:coreProperties>
</file>

<file path=docProps/custom.xml><?xml version="1.0" encoding="utf-8"?>
<Properties xmlns="http://schemas.openxmlformats.org/officeDocument/2006/custom-properties" xmlns:vt="http://schemas.openxmlformats.org/officeDocument/2006/docPropsVTypes"/>
</file>