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Vous avez été retenu pour réaliser un nouveau projet.</w:t>
      </w:r>
    </w:p>
    <w:p w:rsidR="00000000" w:rsidDel="00000000" w:rsidP="00000000" w:rsidRDefault="00000000" w:rsidRPr="00000000" w14:paraId="00000002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Il consiste en la réalisation d’une plateforme en ligne pour réaliser des formations entièrement à distance si on le désire.</w:t>
      </w:r>
    </w:p>
    <w:p w:rsidR="00000000" w:rsidDel="00000000" w:rsidP="00000000" w:rsidRDefault="00000000" w:rsidRPr="00000000" w14:paraId="00000003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travail avec le client a déjà été effectué en partie, la base de données a déjà été pensée pour vous aider, mais libre à vous de tenter en premier lieu de votre côté. </w:t>
      </w:r>
    </w:p>
    <w:p w:rsidR="00000000" w:rsidDel="00000000" w:rsidP="00000000" w:rsidRDefault="00000000" w:rsidRPr="00000000" w14:paraId="0000000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 l’heure actuelle, vous ne pourrez, bien entendu, pas encore tout faire. </w:t>
      </w:r>
    </w:p>
    <w:p w:rsidR="00000000" w:rsidDel="00000000" w:rsidP="00000000" w:rsidRDefault="00000000" w:rsidRPr="00000000" w14:paraId="00000005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Nous reviendrons sur ce même projet afin de l’améliorer et de pouvoir mieux gérer sa structure.</w:t>
      </w:r>
    </w:p>
    <w:p w:rsidR="00000000" w:rsidDel="00000000" w:rsidP="00000000" w:rsidRDefault="00000000" w:rsidRPr="00000000" w14:paraId="00000006">
      <w:pPr>
        <w:spacing w:before="0" w:line="259" w:lineRule="auto"/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Cahier des charges: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connexion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écran scindé en deux parties avec: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à gauche:</w:t>
      </w:r>
    </w:p>
    <w:p w:rsidR="00000000" w:rsidDel="00000000" w:rsidP="00000000" w:rsidRDefault="00000000" w:rsidRPr="00000000" w14:paraId="0000000A">
      <w:pPr>
        <w:numPr>
          <w:ilvl w:val="3"/>
          <w:numId w:val="6"/>
        </w:numPr>
        <w:spacing w:after="0" w:afterAutospacing="0" w:before="0" w:line="259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input </w:t>
      </w:r>
      <w:r w:rsidDel="00000000" w:rsidR="00000000" w:rsidRPr="00000000">
        <w:rPr>
          <w:b w:val="1"/>
          <w:color w:val="404040"/>
          <w:rtl w:val="0"/>
        </w:rPr>
        <w:t xml:space="preserve">texte</w:t>
      </w:r>
      <w:r w:rsidDel="00000000" w:rsidR="00000000" w:rsidRPr="00000000">
        <w:rPr>
          <w:color w:val="404040"/>
          <w:rtl w:val="0"/>
        </w:rPr>
        <w:t xml:space="preserve"> pour l’email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spacing w:after="0" w:afterAutospacing="0" w:before="0" w:line="259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input </w:t>
      </w:r>
      <w:r w:rsidDel="00000000" w:rsidR="00000000" w:rsidRPr="00000000">
        <w:rPr>
          <w:b w:val="1"/>
          <w:color w:val="404040"/>
          <w:rtl w:val="0"/>
        </w:rPr>
        <w:t xml:space="preserve">password</w:t>
      </w:r>
      <w:r w:rsidDel="00000000" w:rsidR="00000000" w:rsidRPr="00000000">
        <w:rPr>
          <w:color w:val="404040"/>
          <w:rtl w:val="0"/>
        </w:rPr>
        <w:t xml:space="preserve"> pour le mot de passe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spacing w:after="0" w:afterAutospacing="0" w:before="0" w:line="259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input </w:t>
      </w:r>
      <w:r w:rsidDel="00000000" w:rsidR="00000000" w:rsidRPr="00000000">
        <w:rPr>
          <w:b w:val="1"/>
          <w:color w:val="404040"/>
          <w:rtl w:val="0"/>
        </w:rPr>
        <w:t xml:space="preserve">submit </w:t>
      </w:r>
      <w:r w:rsidDel="00000000" w:rsidR="00000000" w:rsidRPr="00000000">
        <w:rPr>
          <w:color w:val="404040"/>
          <w:rtl w:val="0"/>
        </w:rPr>
        <w:t xml:space="preserve">de connexion</w:t>
      </w:r>
    </w:p>
    <w:p w:rsidR="00000000" w:rsidDel="00000000" w:rsidP="00000000" w:rsidRDefault="00000000" w:rsidRPr="00000000" w14:paraId="0000000D">
      <w:pPr>
        <w:numPr>
          <w:ilvl w:val="3"/>
          <w:numId w:val="6"/>
        </w:numPr>
        <w:spacing w:after="0" w:afterAutospacing="0" w:before="0" w:line="259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bouton de connexion via Google qui sera fonctionnel </w:t>
      </w:r>
      <w:r w:rsidDel="00000000" w:rsidR="00000000" w:rsidRPr="00000000">
        <w:rPr>
          <w:b w:val="1"/>
          <w:color w:val="404040"/>
          <w:rtl w:val="0"/>
        </w:rPr>
        <w:t xml:space="preserve">plus tard</w:t>
      </w:r>
      <w:r w:rsidDel="00000000" w:rsidR="00000000" w:rsidRPr="00000000">
        <w:rPr>
          <w:color w:val="404040"/>
          <w:rtl w:val="0"/>
        </w:rPr>
        <w:t xml:space="preserve"> (API)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à droite:</w:t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spacing w:after="0" w:afterAutospacing="0" w:before="0" w:line="259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avis sélectionné </w:t>
      </w:r>
      <w:r w:rsidDel="00000000" w:rsidR="00000000" w:rsidRPr="00000000">
        <w:rPr>
          <w:b w:val="1"/>
          <w:color w:val="404040"/>
          <w:rtl w:val="0"/>
        </w:rPr>
        <w:t xml:space="preserve">aléatoirement</w:t>
      </w:r>
      <w:r w:rsidDel="00000000" w:rsidR="00000000" w:rsidRPr="00000000">
        <w:rPr>
          <w:color w:val="404040"/>
          <w:rtl w:val="0"/>
        </w:rPr>
        <w:t xml:space="preserve"> (BDD)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d’accueil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navbar avec: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l’icône du client 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lien vers l’accueil 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lien vers les formations 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lien vers une interface d’administration 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loupe qui fait apparaître un champs de recherche lorsque l’on clique dessus puis lors de la recherche, afficher une liste d’éléments correspondants à notre recherche (BDD/JS avancé)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line="259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bouton de connexion/le nom prénom de l’utilisateur connecté + un icône utilisateur si connecté (BDD)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deux blocs de présentations </w:t>
      </w:r>
      <w:r w:rsidDel="00000000" w:rsidR="00000000" w:rsidRPr="00000000">
        <w:rPr>
          <w:b w:val="1"/>
          <w:color w:val="404040"/>
          <w:rtl w:val="0"/>
        </w:rPr>
        <w:t xml:space="preserve">statiques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carrousel d’avis d’anciens stagiaires avec photo (BDD)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footer et un bouton pour retourner en haut de la page (JS)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formations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même navbar que sur l’accueil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filtre pour les langages (BDD)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diverses cartes représentant les cours disponibles (image de présentation/titre/niveau/temps estimé/synopsis)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même footer que sur l’accueil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de cours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même navbar que sur l’accueil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reprenant le titre/niveau/temps estimé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date de mise à jour/publication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bouton de téléchargement en PDF (PHP avancé)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déroulé de cours pour savoir où l’on se situe, avec un code couleur pour les chapitres déjà faits suivant leur validation (vert/rouge) (BDD)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contenu du chapitre actuel (BDD)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 bouton pour valider le chapitre actuel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deux boutons à la fin pour retourner au cours précédent/aller au cours suivant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même footer que sur l’accueil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page d’administration (cette page peut-être différente du reste du site, je vous laisse vous inspirer de modèles sur internet, voire d’en créer un par vous-même) ou des CRUD seront mis en oeuvre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formulaire d'ajout/édition/suppression de cours (avec gestion des chapitres) (BDD)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formulaire d'ajout/édition/suppression d’utilisateurs (BDD)</w:t>
      </w:r>
    </w:p>
    <w:p w:rsidR="00000000" w:rsidDel="00000000" w:rsidP="00000000" w:rsidRDefault="00000000" w:rsidRPr="00000000" w14:paraId="0000002D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lien vers l’intégration est disponible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cliquant ici</w:t>
        </w:r>
      </w:hyperlink>
      <w:r w:rsidDel="00000000" w:rsidR="00000000" w:rsidRPr="00000000">
        <w:rPr>
          <w:color w:val="404040"/>
          <w:rtl w:val="0"/>
        </w:rPr>
        <w:t xml:space="preserve"> ou en vous rendant dans le channel PHP de votre discord, sur le fil “TP ADRAR Classrooms”.</w:t>
      </w:r>
    </w:p>
    <w:p w:rsidR="00000000" w:rsidDel="00000000" w:rsidP="00000000" w:rsidRDefault="00000000" w:rsidRPr="00000000" w14:paraId="00000030">
      <w:pPr>
        <w:spacing w:before="0" w:line="259" w:lineRule="auto"/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Partie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Pour la base de données, retrouvez le fichier .sql à importer dans votre PHPMyAdmin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cliquant ici</w:t>
        </w:r>
      </w:hyperlink>
      <w:r w:rsidDel="00000000" w:rsidR="00000000" w:rsidRPr="00000000">
        <w:rPr>
          <w:color w:val="404040"/>
          <w:rtl w:val="0"/>
        </w:rPr>
        <w:t xml:space="preserve"> ou dans le même fil, sur votre discord (sauf si vous désirez vous creuser les méninges pour penser à ce dont vous allez avoir besoin). </w:t>
      </w:r>
    </w:p>
    <w:p w:rsidR="00000000" w:rsidDel="00000000" w:rsidP="00000000" w:rsidRDefault="00000000" w:rsidRPr="00000000" w14:paraId="00000032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Nous utiliserons comme nomenclature SQL du français en snake_case (chaque mot en minuscule et séparés par des underscores _) et </w:t>
      </w:r>
      <w:r w:rsidDel="00000000" w:rsidR="00000000" w:rsidRPr="00000000">
        <w:rPr>
          <w:b w:val="1"/>
          <w:color w:val="404040"/>
          <w:u w:val="single"/>
          <w:rtl w:val="0"/>
        </w:rPr>
        <w:t xml:space="preserve">SANS</w:t>
      </w:r>
      <w:r w:rsidDel="00000000" w:rsidR="00000000" w:rsidRPr="00000000">
        <w:rPr>
          <w:color w:val="404040"/>
          <w:rtl w:val="0"/>
        </w:rPr>
        <w:t xml:space="preserve"> accent.</w:t>
      </w:r>
    </w:p>
    <w:p w:rsidR="00000000" w:rsidDel="00000000" w:rsidP="00000000" w:rsidRDefault="00000000" w:rsidRPr="00000000" w14:paraId="00000033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nom de nos </w:t>
      </w:r>
      <w:r w:rsidDel="00000000" w:rsidR="00000000" w:rsidRPr="00000000">
        <w:rPr>
          <w:b w:val="1"/>
          <w:color w:val="404040"/>
          <w:rtl w:val="0"/>
        </w:rPr>
        <w:t xml:space="preserve">tables</w:t>
      </w:r>
      <w:r w:rsidDel="00000000" w:rsidR="00000000" w:rsidRPr="00000000">
        <w:rPr>
          <w:color w:val="404040"/>
          <w:rtl w:val="0"/>
        </w:rPr>
        <w:t xml:space="preserve"> sera en minuscules et au pluriel.</w:t>
      </w:r>
    </w:p>
    <w:p w:rsidR="00000000" w:rsidDel="00000000" w:rsidP="00000000" w:rsidRDefault="00000000" w:rsidRPr="00000000" w14:paraId="00000034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nom de nos </w:t>
      </w:r>
      <w:r w:rsidDel="00000000" w:rsidR="00000000" w:rsidRPr="00000000">
        <w:rPr>
          <w:b w:val="1"/>
          <w:color w:val="404040"/>
          <w:rtl w:val="0"/>
        </w:rPr>
        <w:t xml:space="preserve">colonnes </w:t>
      </w:r>
      <w:r w:rsidDel="00000000" w:rsidR="00000000" w:rsidRPr="00000000">
        <w:rPr>
          <w:color w:val="404040"/>
          <w:rtl w:val="0"/>
        </w:rPr>
        <w:t xml:space="preserve">reprendra le nom de notre table au singulier suivi par le “vrai nom” de la colonne (</w:t>
      </w:r>
      <w:r w:rsidDel="00000000" w:rsidR="00000000" w:rsidRPr="00000000">
        <w:rPr>
          <w:i w:val="1"/>
          <w:color w:val="404040"/>
          <w:u w:val="single"/>
          <w:rtl w:val="0"/>
        </w:rPr>
        <w:t xml:space="preserve">Ex pour la table utilisateurs:</w:t>
      </w:r>
      <w:r w:rsidDel="00000000" w:rsidR="00000000" w:rsidRPr="00000000">
        <w:rPr>
          <w:color w:val="404040"/>
          <w:rtl w:val="0"/>
        </w:rPr>
        <w:t xml:space="preserve"> utilisateur_id, utilisateur_nom, utilisateur_prenom, …) exception faite pour les clés étrangères afin de les distinguer plus facilement (</w:t>
      </w:r>
      <w:r w:rsidDel="00000000" w:rsidR="00000000" w:rsidRPr="00000000">
        <w:rPr>
          <w:i w:val="1"/>
          <w:color w:val="404040"/>
          <w:u w:val="single"/>
          <w:rtl w:val="0"/>
        </w:rPr>
        <w:t xml:space="preserve">Ex pour la table utilisateurs possédant une clé étrangère vers la table roles</w:t>
      </w:r>
      <w:r w:rsidDel="00000000" w:rsidR="00000000" w:rsidRPr="00000000">
        <w:rPr>
          <w:color w:val="404040"/>
          <w:rtl w:val="0"/>
        </w:rPr>
        <w:t xml:space="preserve">: …, id_role).</w:t>
      </w:r>
    </w:p>
    <w:p w:rsidR="00000000" w:rsidDel="00000000" w:rsidP="00000000" w:rsidRDefault="00000000" w:rsidRPr="00000000" w14:paraId="00000035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59" w:lineRule="auto"/>
        <w:rPr>
          <w:color w:val="404040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Comment importer des données à partir d’un fichier .sql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Créez une base de données vierge de tout contenu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fois cela fait, cliquez sur celle-ci, et sélectionnez “Importer” dans la barre des actions:</w:t>
      </w:r>
    </w:p>
    <w:p w:rsidR="00000000" w:rsidDel="00000000" w:rsidP="00000000" w:rsidRDefault="00000000" w:rsidRPr="00000000" w14:paraId="00000039">
      <w:pPr>
        <w:spacing w:before="0" w:line="259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5760410" cy="26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Une fois dans l’écran d’importation, sélectionnez votre fichier .sql fourni plus tôt:</w:t>
      </w:r>
    </w:p>
    <w:p w:rsidR="00000000" w:rsidDel="00000000" w:rsidP="00000000" w:rsidRDefault="00000000" w:rsidRPr="00000000" w14:paraId="0000003B">
      <w:pPr>
        <w:spacing w:before="0" w:line="259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5760410" cy="158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Puis sélectionnez “Importer” en bas de page, vous devriez alors voir votre base de données se remplir de vos tables </w:t>
      </w:r>
    </w:p>
    <w:p w:rsidR="00000000" w:rsidDel="00000000" w:rsidP="00000000" w:rsidRDefault="00000000" w:rsidRPr="00000000" w14:paraId="0000003D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59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59" w:lineRule="auto"/>
        <w:rPr>
          <w:b w:val="1"/>
          <w:color w:val="404040"/>
          <w:u w:val="single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Comment récupérer les assets sur Figma 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Sélectionnez la ressource désirée dans le menu de gauche</w:t>
      </w:r>
    </w:p>
    <w:p w:rsidR="00000000" w:rsidDel="00000000" w:rsidP="00000000" w:rsidRDefault="00000000" w:rsidRPr="00000000" w14:paraId="0000004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</w:rPr>
        <w:drawing>
          <wp:inline distB="114300" distT="114300" distL="114300" distR="114300">
            <wp:extent cx="576041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Ensuite, cliquez sur “Export” dans le menu de droite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333375</wp:posOffset>
            </wp:positionV>
            <wp:extent cx="2085975" cy="122286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2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Suivant votre utilisation, changez de PNG à SVG (ça vous permettra de changer la couleur des icônes en SVG)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before="0" w:line="259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Puis cliquez sur le bouton Export </w:t>
      </w:r>
      <w:r w:rsidDel="00000000" w:rsidR="00000000" w:rsidRPr="00000000">
        <w:rPr>
          <w:i w:val="1"/>
          <w:color w:val="404040"/>
          <w:rtl w:val="0"/>
        </w:rPr>
        <w:t xml:space="preserve">mon-element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59" w:lineRule="auto"/>
        <w:rPr/>
      </w:pPr>
      <w:r w:rsidDel="00000000" w:rsidR="00000000" w:rsidRPr="00000000">
        <w:rPr>
          <w:color w:val="404040"/>
          <w:rtl w:val="0"/>
        </w:rPr>
        <w:t xml:space="preserve">NB: Si vous sélectionnez plusieurs éléments dans le menu de gauche et que vous cherchez à les exporter, une archive de tous vos éléments sera créée.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18/01/2023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ADRAR Classrooms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LhgsAaXHN8HVJfpXeyjhDQ/Adrar-Classrooms?node-id=0%3A1&amp;t=ikkyluJOHFPZFIu4-1" TargetMode="External"/><Relationship Id="rId7" Type="http://schemas.openxmlformats.org/officeDocument/2006/relationships/hyperlink" Target="https://drive.google.com/file/d/16aUgkfd7D7JghmfP-IjLkrk6ZdLod6Lz/view?usp=share_link" TargetMode="External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