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C6F8B" w:rsidRDefault="00000000">
      <w:pPr>
        <w:pStyle w:val="Ttulo"/>
        <w:jc w:val="center"/>
        <w:rPr>
          <w:rFonts w:ascii="Arial" w:eastAsia="Arial" w:hAnsi="Arial" w:cs="Arial"/>
          <w:color w:val="0098CD"/>
          <w:sz w:val="40"/>
          <w:szCs w:val="40"/>
          <w:u w:val="single"/>
        </w:rPr>
      </w:pPr>
      <w:bookmarkStart w:id="0" w:name="_heading=h.d8ll3pplr5d3" w:colFirst="0" w:colLast="0"/>
      <w:bookmarkEnd w:id="0"/>
      <w:r>
        <w:rPr>
          <w:rFonts w:ascii="Arial" w:eastAsia="Arial" w:hAnsi="Arial" w:cs="Arial"/>
          <w:color w:val="0098CD"/>
          <w:sz w:val="40"/>
          <w:szCs w:val="40"/>
          <w:u w:val="single"/>
        </w:rPr>
        <w:t xml:space="preserve">Secuenciación y </w:t>
      </w:r>
      <w:proofErr w:type="spellStart"/>
      <w:r>
        <w:rPr>
          <w:rFonts w:ascii="Arial" w:eastAsia="Arial" w:hAnsi="Arial" w:cs="Arial"/>
          <w:color w:val="0098CD"/>
          <w:sz w:val="40"/>
          <w:szCs w:val="40"/>
          <w:u w:val="single"/>
        </w:rPr>
        <w:t>Ómicas</w:t>
      </w:r>
      <w:proofErr w:type="spellEnd"/>
      <w:r>
        <w:rPr>
          <w:rFonts w:ascii="Arial" w:eastAsia="Arial" w:hAnsi="Arial" w:cs="Arial"/>
          <w:color w:val="0098CD"/>
          <w:sz w:val="40"/>
          <w:szCs w:val="40"/>
          <w:u w:val="single"/>
        </w:rPr>
        <w:t xml:space="preserve"> </w:t>
      </w:r>
      <w:r>
        <w:rPr>
          <w:rFonts w:ascii="Arial" w:eastAsia="Arial" w:hAnsi="Arial" w:cs="Arial"/>
          <w:color w:val="0098CD"/>
          <w:sz w:val="40"/>
          <w:szCs w:val="40"/>
          <w:u w:val="single"/>
        </w:rPr>
        <w:br/>
        <w:t>de Próxima Generación</w:t>
      </w:r>
    </w:p>
    <w:p w14:paraId="00000002" w14:textId="77777777" w:rsidR="00AC6F8B" w:rsidRDefault="00AC6F8B">
      <w:pPr>
        <w:pStyle w:val="Subttulo"/>
        <w:rPr>
          <w:rFonts w:ascii="Arial" w:eastAsia="Arial" w:hAnsi="Arial" w:cs="Arial"/>
          <w:color w:val="0098CD"/>
          <w:sz w:val="44"/>
          <w:szCs w:val="44"/>
        </w:rPr>
      </w:pPr>
      <w:bookmarkStart w:id="1" w:name="_heading=h.jh5xqqit4qaz" w:colFirst="0" w:colLast="0"/>
      <w:bookmarkEnd w:id="1"/>
    </w:p>
    <w:p w14:paraId="00000003" w14:textId="77777777" w:rsidR="00AC6F8B" w:rsidRDefault="00000000">
      <w:pPr>
        <w:pStyle w:val="Subttulo"/>
        <w:jc w:val="center"/>
        <w:rPr>
          <w:rFonts w:ascii="Arial" w:eastAsia="Arial" w:hAnsi="Arial" w:cs="Arial"/>
          <w:color w:val="0098CD"/>
          <w:sz w:val="44"/>
          <w:szCs w:val="44"/>
        </w:rPr>
      </w:pPr>
      <w:bookmarkStart w:id="2" w:name="_heading=h.hrcw0xhntuvw" w:colFirst="0" w:colLast="0"/>
      <w:bookmarkEnd w:id="2"/>
      <w:r>
        <w:rPr>
          <w:rFonts w:ascii="Arial" w:eastAsia="Arial" w:hAnsi="Arial" w:cs="Arial"/>
          <w:color w:val="0098CD"/>
          <w:sz w:val="44"/>
          <w:szCs w:val="44"/>
        </w:rPr>
        <w:t>Actividad 3 grupal:</w:t>
      </w:r>
    </w:p>
    <w:p w14:paraId="00000004" w14:textId="77777777" w:rsidR="00AC6F8B" w:rsidRDefault="00AC6F8B">
      <w:pPr>
        <w:rPr>
          <w:rFonts w:ascii="Arial" w:eastAsia="Arial" w:hAnsi="Arial" w:cs="Arial"/>
          <w:color w:val="0098CD"/>
          <w:sz w:val="40"/>
          <w:szCs w:val="40"/>
        </w:rPr>
      </w:pPr>
    </w:p>
    <w:p w14:paraId="00000005" w14:textId="77777777" w:rsidR="00AC6F8B" w:rsidRDefault="00000000">
      <w:pPr>
        <w:jc w:val="center"/>
        <w:rPr>
          <w:rFonts w:ascii="Arial" w:eastAsia="Arial" w:hAnsi="Arial" w:cs="Arial"/>
          <w:b/>
          <w:color w:val="0098CD"/>
          <w:sz w:val="44"/>
          <w:szCs w:val="44"/>
        </w:rPr>
      </w:pPr>
      <w:r>
        <w:rPr>
          <w:rFonts w:ascii="Arial" w:eastAsia="Arial" w:hAnsi="Arial" w:cs="Arial"/>
          <w:b/>
          <w:color w:val="0098CD"/>
          <w:sz w:val="44"/>
          <w:szCs w:val="44"/>
        </w:rPr>
        <w:t>Análisis del microbioma de la piel en pacientes con dermatitis atópica</w:t>
      </w:r>
    </w:p>
    <w:p w14:paraId="00000006" w14:textId="77777777" w:rsidR="00AC6F8B" w:rsidRDefault="00AC6F8B">
      <w:pPr>
        <w:rPr>
          <w:rFonts w:ascii="Arial" w:eastAsia="Arial" w:hAnsi="Arial" w:cs="Arial"/>
          <w:color w:val="0098CD"/>
          <w:sz w:val="40"/>
          <w:szCs w:val="40"/>
        </w:rPr>
      </w:pPr>
    </w:p>
    <w:p w14:paraId="00000007" w14:textId="77777777" w:rsidR="00AC6F8B" w:rsidRDefault="00AC6F8B">
      <w:pPr>
        <w:rPr>
          <w:rFonts w:ascii="Arial" w:eastAsia="Arial" w:hAnsi="Arial" w:cs="Arial"/>
          <w:color w:val="0098CD"/>
          <w:sz w:val="40"/>
          <w:szCs w:val="40"/>
        </w:rPr>
      </w:pPr>
    </w:p>
    <w:p w14:paraId="00000008" w14:textId="77777777" w:rsidR="00AC6F8B" w:rsidRDefault="00AC6F8B">
      <w:pPr>
        <w:rPr>
          <w:rFonts w:ascii="Arial" w:eastAsia="Arial" w:hAnsi="Arial" w:cs="Arial"/>
          <w:color w:val="0098CD"/>
          <w:sz w:val="40"/>
          <w:szCs w:val="40"/>
        </w:rPr>
      </w:pPr>
    </w:p>
    <w:p w14:paraId="00000009" w14:textId="77777777" w:rsidR="00AC6F8B" w:rsidRDefault="00AC6F8B">
      <w:pPr>
        <w:rPr>
          <w:rFonts w:ascii="Arial" w:eastAsia="Arial" w:hAnsi="Arial" w:cs="Arial"/>
          <w:color w:val="0098CD"/>
          <w:sz w:val="40"/>
          <w:szCs w:val="40"/>
        </w:rPr>
      </w:pPr>
    </w:p>
    <w:p w14:paraId="0000000A" w14:textId="77777777" w:rsidR="00AC6F8B" w:rsidRDefault="00AC6F8B">
      <w:pPr>
        <w:rPr>
          <w:rFonts w:ascii="Arial" w:eastAsia="Arial" w:hAnsi="Arial" w:cs="Arial"/>
          <w:color w:val="0098CD"/>
          <w:sz w:val="40"/>
          <w:szCs w:val="40"/>
        </w:rPr>
      </w:pPr>
    </w:p>
    <w:p w14:paraId="0000000B" w14:textId="77777777" w:rsidR="00AC6F8B" w:rsidRDefault="00AC6F8B">
      <w:pPr>
        <w:jc w:val="left"/>
        <w:rPr>
          <w:rFonts w:ascii="Arial" w:eastAsia="Arial" w:hAnsi="Arial" w:cs="Arial"/>
          <w:color w:val="0098CD"/>
          <w:sz w:val="40"/>
          <w:szCs w:val="40"/>
        </w:rPr>
      </w:pPr>
    </w:p>
    <w:p w14:paraId="0000000C" w14:textId="77777777" w:rsidR="00AC6F8B" w:rsidRDefault="00000000">
      <w:pPr>
        <w:jc w:val="right"/>
        <w:rPr>
          <w:rFonts w:ascii="Arial" w:eastAsia="Arial" w:hAnsi="Arial" w:cs="Arial"/>
          <w:color w:val="0098CD"/>
          <w:sz w:val="34"/>
          <w:szCs w:val="34"/>
        </w:rPr>
      </w:pPr>
      <w:r>
        <w:rPr>
          <w:rFonts w:ascii="Arial" w:eastAsia="Arial" w:hAnsi="Arial" w:cs="Arial"/>
          <w:color w:val="0098CD"/>
          <w:sz w:val="34"/>
          <w:szCs w:val="34"/>
        </w:rPr>
        <w:t>Grupo 2.2</w:t>
      </w:r>
    </w:p>
    <w:p w14:paraId="0000000D" w14:textId="77777777" w:rsidR="00AC6F8B" w:rsidRDefault="00000000">
      <w:pPr>
        <w:jc w:val="right"/>
        <w:rPr>
          <w:rFonts w:ascii="Arial" w:eastAsia="Arial" w:hAnsi="Arial" w:cs="Arial"/>
          <w:color w:val="000000"/>
        </w:rPr>
      </w:pPr>
      <w:r>
        <w:rPr>
          <w:rFonts w:ascii="Arial" w:eastAsia="Arial" w:hAnsi="Arial" w:cs="Arial"/>
          <w:color w:val="000000"/>
        </w:rPr>
        <w:t>Edurne García Vidal</w:t>
      </w:r>
      <w:r>
        <w:rPr>
          <w:rFonts w:ascii="Arial" w:eastAsia="Arial" w:hAnsi="Arial" w:cs="Arial"/>
          <w:color w:val="000000"/>
        </w:rPr>
        <w:br/>
        <w:t xml:space="preserve">Laura Yera Fernández </w:t>
      </w:r>
      <w:r>
        <w:rPr>
          <w:rFonts w:ascii="Arial" w:eastAsia="Arial" w:hAnsi="Arial" w:cs="Arial"/>
          <w:color w:val="000000"/>
        </w:rPr>
        <w:br/>
        <w:t xml:space="preserve">Ander López </w:t>
      </w:r>
      <w:proofErr w:type="spellStart"/>
      <w:r>
        <w:rPr>
          <w:rFonts w:ascii="Arial" w:eastAsia="Arial" w:hAnsi="Arial" w:cs="Arial"/>
          <w:color w:val="000000"/>
        </w:rPr>
        <w:t>Imas</w:t>
      </w:r>
      <w:proofErr w:type="spellEnd"/>
    </w:p>
    <w:p w14:paraId="0000000E" w14:textId="77777777" w:rsidR="00AC6F8B" w:rsidRDefault="00000000">
      <w:pPr>
        <w:jc w:val="right"/>
        <w:rPr>
          <w:rFonts w:ascii="Arial" w:eastAsia="Arial" w:hAnsi="Arial" w:cs="Arial"/>
          <w:color w:val="000000"/>
        </w:rPr>
      </w:pPr>
      <w:r>
        <w:rPr>
          <w:rFonts w:ascii="Arial" w:eastAsia="Arial" w:hAnsi="Arial" w:cs="Arial"/>
          <w:color w:val="000000"/>
        </w:rPr>
        <w:t>Sergio Gil Peña</w:t>
      </w:r>
    </w:p>
    <w:p w14:paraId="0000000F" w14:textId="77777777" w:rsidR="00AC6F8B" w:rsidRDefault="00000000">
      <w:pPr>
        <w:jc w:val="right"/>
        <w:rPr>
          <w:rFonts w:ascii="Arial" w:eastAsia="Arial" w:hAnsi="Arial" w:cs="Arial"/>
          <w:color w:val="000000"/>
        </w:rPr>
      </w:pPr>
      <w:r>
        <w:rPr>
          <w:rFonts w:ascii="Arial" w:eastAsia="Arial" w:hAnsi="Arial" w:cs="Arial"/>
          <w:color w:val="000000"/>
        </w:rPr>
        <w:t>Eva Coll Ripoll</w:t>
      </w:r>
    </w:p>
    <w:p w14:paraId="00000010" w14:textId="77777777" w:rsidR="00AC6F8B" w:rsidRDefault="00000000">
      <w:pPr>
        <w:pStyle w:val="Ttulo"/>
        <w:spacing w:line="276" w:lineRule="auto"/>
        <w:rPr>
          <w:rFonts w:ascii="Arial" w:eastAsia="Arial" w:hAnsi="Arial" w:cs="Arial"/>
          <w:color w:val="0098CD"/>
          <w:sz w:val="24"/>
          <w:szCs w:val="24"/>
        </w:rPr>
      </w:pPr>
      <w:bookmarkStart w:id="3" w:name="_heading=h.bdcltc3bly6" w:colFirst="0" w:colLast="0"/>
      <w:bookmarkEnd w:id="3"/>
      <w:r>
        <w:rPr>
          <w:rFonts w:ascii="Arial" w:eastAsia="Arial" w:hAnsi="Arial" w:cs="Arial"/>
          <w:color w:val="0098CD"/>
          <w:sz w:val="24"/>
          <w:szCs w:val="24"/>
        </w:rPr>
        <w:lastRenderedPageBreak/>
        <w:t>Introducción</w:t>
      </w:r>
    </w:p>
    <w:p w14:paraId="00000011" w14:textId="77777777" w:rsidR="00AC6F8B" w:rsidRDefault="00000000">
      <w:pPr>
        <w:spacing w:line="276" w:lineRule="auto"/>
        <w:rPr>
          <w:rFonts w:ascii="Arial" w:eastAsia="Arial" w:hAnsi="Arial" w:cs="Arial"/>
        </w:rPr>
      </w:pPr>
      <w:r>
        <w:rPr>
          <w:rFonts w:ascii="Arial" w:eastAsia="Arial" w:hAnsi="Arial" w:cs="Arial"/>
        </w:rPr>
        <w:t xml:space="preserve">La piel es el órgano más grande del cuerpo humano, compuesto por la epidermis, la dermis y el tejido subcutáneo [1]. Los seres humanos mantienen una relación simbiótica con la </w:t>
      </w:r>
      <w:proofErr w:type="gramStart"/>
      <w:r>
        <w:rPr>
          <w:rFonts w:ascii="Arial" w:eastAsia="Arial" w:hAnsi="Arial" w:cs="Arial"/>
        </w:rPr>
        <w:t>microbiota cutánea</w:t>
      </w:r>
      <w:proofErr w:type="gramEnd"/>
      <w:r>
        <w:rPr>
          <w:rFonts w:ascii="Arial" w:eastAsia="Arial" w:hAnsi="Arial" w:cs="Arial"/>
        </w:rPr>
        <w:t xml:space="preserve">, compuesta de bacterias, hongos y virus que viven en la superficie de la piel y actúan como barrera protectora [2]. Sin embargo, este equilibrio puede verse afectado, dando lugar a diferentes patologías, como la dermatitis atópica (DA) [1,2,3]. </w:t>
      </w:r>
    </w:p>
    <w:p w14:paraId="00000012" w14:textId="77777777" w:rsidR="00AC6F8B" w:rsidRDefault="00AC6F8B">
      <w:pPr>
        <w:spacing w:line="276" w:lineRule="auto"/>
        <w:rPr>
          <w:rFonts w:ascii="Arial" w:eastAsia="Arial" w:hAnsi="Arial" w:cs="Arial"/>
        </w:rPr>
      </w:pPr>
    </w:p>
    <w:p w14:paraId="00000013" w14:textId="77777777" w:rsidR="00AC6F8B" w:rsidRDefault="00000000">
      <w:pPr>
        <w:spacing w:line="276" w:lineRule="auto"/>
        <w:rPr>
          <w:rFonts w:ascii="Arial" w:eastAsia="Arial" w:hAnsi="Arial" w:cs="Arial"/>
        </w:rPr>
      </w:pPr>
      <w:r>
        <w:rPr>
          <w:rFonts w:ascii="Arial" w:eastAsia="Arial" w:hAnsi="Arial" w:cs="Arial"/>
        </w:rPr>
        <w:t>La DA es una enfermedad inflamatoria crónica de la piel con una elevada prevalencia mundial. De etiología multifactorial, incluye la predisposición genética, alteraciones de la barrera cutánea, una respuesta anormal del sistema inmune y, más recientemente, la participación clave del microbioma [2,4].</w:t>
      </w:r>
    </w:p>
    <w:p w14:paraId="00000014" w14:textId="77777777" w:rsidR="00AC6F8B" w:rsidRDefault="00000000">
      <w:pPr>
        <w:spacing w:line="276" w:lineRule="auto"/>
        <w:rPr>
          <w:rFonts w:ascii="Arial" w:eastAsia="Arial" w:hAnsi="Arial" w:cs="Arial"/>
        </w:rPr>
      </w:pPr>
      <w:r>
        <w:rPr>
          <w:rFonts w:ascii="Arial" w:eastAsia="Arial" w:hAnsi="Arial" w:cs="Arial"/>
        </w:rPr>
        <w:br/>
        <w:t xml:space="preserve">La piel alberga comunidades microbianas que desempeñan funciones esenciales en la protección frente a patógenos y en la regulación de la respuesta inmunitaria. En pacientes con DA se observa una disbiosis microbiana, caracterizada por una menor diversidad y un aumento en la colonización por </w:t>
      </w:r>
      <w:proofErr w:type="spellStart"/>
      <w:r>
        <w:rPr>
          <w:rFonts w:ascii="Arial" w:eastAsia="Arial" w:hAnsi="Arial" w:cs="Arial"/>
          <w:i/>
        </w:rPr>
        <w:t>Staphylococcus</w:t>
      </w:r>
      <w:proofErr w:type="spellEnd"/>
      <w:r>
        <w:rPr>
          <w:rFonts w:ascii="Arial" w:eastAsia="Arial" w:hAnsi="Arial" w:cs="Arial"/>
          <w:i/>
        </w:rPr>
        <w:t xml:space="preserve"> </w:t>
      </w:r>
      <w:proofErr w:type="spellStart"/>
      <w:r>
        <w:rPr>
          <w:rFonts w:ascii="Arial" w:eastAsia="Arial" w:hAnsi="Arial" w:cs="Arial"/>
          <w:i/>
        </w:rPr>
        <w:t>aureus</w:t>
      </w:r>
      <w:proofErr w:type="spellEnd"/>
      <w:r>
        <w:rPr>
          <w:rFonts w:ascii="Arial" w:eastAsia="Arial" w:hAnsi="Arial" w:cs="Arial"/>
        </w:rPr>
        <w:t xml:space="preserve"> y de </w:t>
      </w:r>
      <w:proofErr w:type="spellStart"/>
      <w:r>
        <w:rPr>
          <w:rFonts w:ascii="Arial" w:eastAsia="Arial" w:hAnsi="Arial" w:cs="Arial"/>
          <w:i/>
        </w:rPr>
        <w:t>Staphylococcus</w:t>
      </w:r>
      <w:proofErr w:type="spellEnd"/>
      <w:r>
        <w:rPr>
          <w:rFonts w:ascii="Arial" w:eastAsia="Arial" w:hAnsi="Arial" w:cs="Arial"/>
          <w:i/>
        </w:rPr>
        <w:t xml:space="preserve"> </w:t>
      </w:r>
      <w:proofErr w:type="spellStart"/>
      <w:r>
        <w:rPr>
          <w:rFonts w:ascii="Arial" w:eastAsia="Arial" w:hAnsi="Arial" w:cs="Arial"/>
          <w:i/>
        </w:rPr>
        <w:t>epidermidis</w:t>
      </w:r>
      <w:proofErr w:type="spellEnd"/>
      <w:r>
        <w:rPr>
          <w:rFonts w:ascii="Arial" w:eastAsia="Arial" w:hAnsi="Arial" w:cs="Arial"/>
        </w:rPr>
        <w:t xml:space="preserve"> (a pesar de que generalmente se considere beneficiosa en pieles sanas)</w:t>
      </w:r>
      <w:r>
        <w:rPr>
          <w:rFonts w:ascii="Arial" w:eastAsia="Arial" w:hAnsi="Arial" w:cs="Arial"/>
          <w:i/>
        </w:rPr>
        <w:t>,</w:t>
      </w:r>
      <w:r>
        <w:rPr>
          <w:rFonts w:ascii="Arial" w:eastAsia="Arial" w:hAnsi="Arial" w:cs="Arial"/>
        </w:rPr>
        <w:t xml:space="preserve"> lo que se ha asociado a una exacerbación de los síntomas y a una mayor severidad clínica [5,6]. </w:t>
      </w:r>
    </w:p>
    <w:p w14:paraId="00000015" w14:textId="77777777" w:rsidR="00AC6F8B" w:rsidRDefault="00AC6F8B">
      <w:pPr>
        <w:spacing w:line="276" w:lineRule="auto"/>
        <w:rPr>
          <w:rFonts w:ascii="Arial" w:eastAsia="Arial" w:hAnsi="Arial" w:cs="Arial"/>
        </w:rPr>
      </w:pPr>
    </w:p>
    <w:p w14:paraId="00000016" w14:textId="77777777" w:rsidR="00AC6F8B" w:rsidRDefault="00000000">
      <w:pPr>
        <w:spacing w:line="276" w:lineRule="auto"/>
        <w:rPr>
          <w:rFonts w:ascii="Arial" w:eastAsia="Arial" w:hAnsi="Arial" w:cs="Arial"/>
        </w:rPr>
      </w:pPr>
      <w:r>
        <w:rPr>
          <w:rFonts w:ascii="Arial" w:eastAsia="Arial" w:hAnsi="Arial" w:cs="Arial"/>
        </w:rPr>
        <w:t>Aunque aún se debate si estos cambios son causa o consecuencia de la dermatitis atópica, el estudio del microbioma cutáneo ha ganado relevancia como una vía para entender mejor su fisiopatología [7]. Analizar las diferencias microbianas entre piel sana y piel afectada por DA permite no solo profundizar en los mecanismos de la enfermedad, sino también abrir nuevas perspectivas en el diagnóstico, pronóstico y posibles estrategias terapéuticas futuras.</w:t>
      </w:r>
    </w:p>
    <w:p w14:paraId="00000017" w14:textId="77777777" w:rsidR="00AC6F8B" w:rsidRDefault="00000000">
      <w:pPr>
        <w:pStyle w:val="Ttulo"/>
        <w:spacing w:line="276" w:lineRule="auto"/>
        <w:rPr>
          <w:rFonts w:ascii="Arial" w:eastAsia="Arial" w:hAnsi="Arial" w:cs="Arial"/>
          <w:color w:val="0098CD"/>
          <w:sz w:val="24"/>
          <w:szCs w:val="24"/>
        </w:rPr>
      </w:pPr>
      <w:bookmarkStart w:id="4" w:name="_heading=h.tmgjm15pq1f8" w:colFirst="0" w:colLast="0"/>
      <w:bookmarkEnd w:id="4"/>
      <w:r>
        <w:rPr>
          <w:rFonts w:ascii="Arial" w:eastAsia="Arial" w:hAnsi="Arial" w:cs="Arial"/>
          <w:color w:val="0098CD"/>
          <w:sz w:val="24"/>
          <w:szCs w:val="24"/>
        </w:rPr>
        <w:t>Hipótesis</w:t>
      </w:r>
    </w:p>
    <w:p w14:paraId="00000018" w14:textId="77777777" w:rsidR="00AC6F8B" w:rsidRDefault="00000000">
      <w:pPr>
        <w:spacing w:line="276" w:lineRule="auto"/>
        <w:rPr>
          <w:rFonts w:ascii="Arial" w:eastAsia="Arial" w:hAnsi="Arial" w:cs="Arial"/>
        </w:rPr>
      </w:pPr>
      <w:r>
        <w:rPr>
          <w:rFonts w:ascii="Arial" w:eastAsia="Arial" w:hAnsi="Arial" w:cs="Arial"/>
        </w:rPr>
        <w:t xml:space="preserve">La composición y diversidad del microbioma cutáneo en pacientes con dermatitis atópica (DA) difiere significativamente de la piel sana, caracterizándose por una reducción en la diversidad microbiana y un aumento en la abundancia relativa de </w:t>
      </w:r>
      <w:proofErr w:type="spellStart"/>
      <w:r>
        <w:rPr>
          <w:rFonts w:ascii="Arial" w:eastAsia="Arial" w:hAnsi="Arial" w:cs="Arial"/>
          <w:i/>
        </w:rPr>
        <w:t>Staphylococcus</w:t>
      </w:r>
      <w:proofErr w:type="spellEnd"/>
      <w:r>
        <w:rPr>
          <w:rFonts w:ascii="Arial" w:eastAsia="Arial" w:hAnsi="Arial" w:cs="Arial"/>
          <w:i/>
        </w:rPr>
        <w:t xml:space="preserve"> </w:t>
      </w:r>
      <w:proofErr w:type="spellStart"/>
      <w:r>
        <w:rPr>
          <w:rFonts w:ascii="Arial" w:eastAsia="Arial" w:hAnsi="Arial" w:cs="Arial"/>
          <w:i/>
        </w:rPr>
        <w:t>aureus</w:t>
      </w:r>
      <w:proofErr w:type="spellEnd"/>
      <w:r>
        <w:rPr>
          <w:rFonts w:ascii="Arial" w:eastAsia="Arial" w:hAnsi="Arial" w:cs="Arial"/>
        </w:rPr>
        <w:t xml:space="preserve"> y de </w:t>
      </w:r>
      <w:proofErr w:type="spellStart"/>
      <w:r>
        <w:rPr>
          <w:rFonts w:ascii="Arial" w:eastAsia="Arial" w:hAnsi="Arial" w:cs="Arial"/>
          <w:i/>
        </w:rPr>
        <w:t>Staphylococcus</w:t>
      </w:r>
      <w:proofErr w:type="spellEnd"/>
      <w:r>
        <w:rPr>
          <w:rFonts w:ascii="Arial" w:eastAsia="Arial" w:hAnsi="Arial" w:cs="Arial"/>
          <w:i/>
        </w:rPr>
        <w:t xml:space="preserve"> </w:t>
      </w:r>
      <w:proofErr w:type="spellStart"/>
      <w:r>
        <w:rPr>
          <w:rFonts w:ascii="Arial" w:eastAsia="Arial" w:hAnsi="Arial" w:cs="Arial"/>
          <w:i/>
        </w:rPr>
        <w:t>epidermidis</w:t>
      </w:r>
      <w:proofErr w:type="spellEnd"/>
      <w:r>
        <w:rPr>
          <w:rFonts w:ascii="Arial" w:eastAsia="Arial" w:hAnsi="Arial" w:cs="Arial"/>
        </w:rPr>
        <w:t xml:space="preserve">. Además, es de esperar que la severidad clínica esté relacionada con la magnitud de la disbiosis, por lo que podría usarse como biomarcador de diagnóstico o pronóstico.   </w:t>
      </w:r>
    </w:p>
    <w:p w14:paraId="00000019" w14:textId="77777777" w:rsidR="00AC6F8B" w:rsidRDefault="00AC6F8B">
      <w:pPr>
        <w:spacing w:line="276" w:lineRule="auto"/>
        <w:rPr>
          <w:rFonts w:ascii="Arial" w:eastAsia="Arial" w:hAnsi="Arial" w:cs="Arial"/>
        </w:rPr>
      </w:pPr>
    </w:p>
    <w:p w14:paraId="0000001A" w14:textId="77777777" w:rsidR="00AC6F8B" w:rsidRDefault="00000000">
      <w:pPr>
        <w:pStyle w:val="Ttulo"/>
        <w:spacing w:line="276" w:lineRule="auto"/>
        <w:rPr>
          <w:rFonts w:ascii="Arial" w:eastAsia="Arial" w:hAnsi="Arial" w:cs="Arial"/>
          <w:color w:val="0098CD"/>
          <w:sz w:val="24"/>
          <w:szCs w:val="24"/>
        </w:rPr>
      </w:pPr>
      <w:bookmarkStart w:id="5" w:name="_heading=h.knhcaqh24avt" w:colFirst="0" w:colLast="0"/>
      <w:bookmarkEnd w:id="5"/>
      <w:r>
        <w:rPr>
          <w:rFonts w:ascii="Arial" w:eastAsia="Arial" w:hAnsi="Arial" w:cs="Arial"/>
          <w:color w:val="0098CD"/>
          <w:sz w:val="24"/>
          <w:szCs w:val="24"/>
        </w:rPr>
        <w:lastRenderedPageBreak/>
        <w:t>Objetivos</w:t>
      </w:r>
    </w:p>
    <w:p w14:paraId="0000001B" w14:textId="77777777" w:rsidR="00AC6F8B" w:rsidRDefault="00000000">
      <w:pPr>
        <w:spacing w:line="276" w:lineRule="auto"/>
        <w:rPr>
          <w:rFonts w:ascii="Arial" w:eastAsia="Arial" w:hAnsi="Arial" w:cs="Arial"/>
        </w:rPr>
      </w:pPr>
      <w:r>
        <w:rPr>
          <w:rFonts w:ascii="Arial" w:eastAsia="Arial" w:hAnsi="Arial" w:cs="Arial"/>
        </w:rPr>
        <w:t>Como objetivo general se propone evaluar las modificaciones en la estructura taxonómica y en la diversidad microbiana del microbioma cutáneo en individuos con dermatitis atópica, en relación con sujetos sanos, además de examinar su vínculo con el grado de severidad clínica de la enfermedad.</w:t>
      </w:r>
    </w:p>
    <w:p w14:paraId="0000001C" w14:textId="77777777" w:rsidR="00AC6F8B" w:rsidRDefault="00000000">
      <w:pPr>
        <w:spacing w:line="276" w:lineRule="auto"/>
        <w:rPr>
          <w:rFonts w:ascii="Arial" w:eastAsia="Arial" w:hAnsi="Arial" w:cs="Arial"/>
        </w:rPr>
      </w:pPr>
      <w:r>
        <w:rPr>
          <w:rFonts w:ascii="Arial" w:eastAsia="Arial" w:hAnsi="Arial" w:cs="Arial"/>
        </w:rPr>
        <w:t>Los objetivos específicos son:</w:t>
      </w:r>
    </w:p>
    <w:p w14:paraId="0000001D" w14:textId="64F6B658" w:rsidR="00AC6F8B" w:rsidRDefault="00000000">
      <w:pPr>
        <w:numPr>
          <w:ilvl w:val="0"/>
          <w:numId w:val="2"/>
        </w:numPr>
        <w:spacing w:line="276" w:lineRule="auto"/>
        <w:rPr>
          <w:rFonts w:ascii="Arial" w:eastAsia="Arial" w:hAnsi="Arial" w:cs="Arial"/>
        </w:rPr>
      </w:pPr>
      <w:r>
        <w:rPr>
          <w:rFonts w:ascii="Arial" w:eastAsia="Arial" w:hAnsi="Arial" w:cs="Arial"/>
        </w:rPr>
        <w:t xml:space="preserve">Obtener muestras cutáneas de pacientes con dermatitis </w:t>
      </w:r>
      <w:r w:rsidR="00C53C5F">
        <w:rPr>
          <w:rFonts w:ascii="Arial" w:eastAsia="Arial" w:hAnsi="Arial" w:cs="Arial"/>
        </w:rPr>
        <w:t>atópica,</w:t>
      </w:r>
      <w:r>
        <w:rPr>
          <w:rFonts w:ascii="Arial" w:eastAsia="Arial" w:hAnsi="Arial" w:cs="Arial"/>
        </w:rPr>
        <w:t xml:space="preserve"> así como de controles sanos.</w:t>
      </w:r>
    </w:p>
    <w:p w14:paraId="0000001E" w14:textId="77777777" w:rsidR="00AC6F8B" w:rsidRDefault="00000000">
      <w:pPr>
        <w:numPr>
          <w:ilvl w:val="0"/>
          <w:numId w:val="2"/>
        </w:numPr>
        <w:spacing w:line="276" w:lineRule="auto"/>
        <w:rPr>
          <w:rFonts w:ascii="Arial" w:eastAsia="Arial" w:hAnsi="Arial" w:cs="Arial"/>
        </w:rPr>
      </w:pPr>
      <w:r>
        <w:rPr>
          <w:rFonts w:ascii="Arial" w:eastAsia="Arial" w:hAnsi="Arial" w:cs="Arial"/>
        </w:rPr>
        <w:t xml:space="preserve">Extraer el DNA bacteriano de las muestras para la posterior amplificación de la región V1-V3 del gen 16S </w:t>
      </w:r>
      <w:proofErr w:type="spellStart"/>
      <w:r>
        <w:rPr>
          <w:rFonts w:ascii="Arial" w:eastAsia="Arial" w:hAnsi="Arial" w:cs="Arial"/>
        </w:rPr>
        <w:t>rRNA</w:t>
      </w:r>
      <w:proofErr w:type="spellEnd"/>
      <w:r>
        <w:rPr>
          <w:rFonts w:ascii="Arial" w:eastAsia="Arial" w:hAnsi="Arial" w:cs="Arial"/>
        </w:rPr>
        <w:t xml:space="preserve"> mediante PCR, seguido de la secuenciación en la plataforma </w:t>
      </w:r>
      <w:proofErr w:type="spellStart"/>
      <w:r>
        <w:rPr>
          <w:rFonts w:ascii="Arial" w:eastAsia="Arial" w:hAnsi="Arial" w:cs="Arial"/>
        </w:rPr>
        <w:t>Illumina</w:t>
      </w:r>
      <w:proofErr w:type="spellEnd"/>
      <w:r>
        <w:rPr>
          <w:rFonts w:ascii="Arial" w:eastAsia="Arial" w:hAnsi="Arial" w:cs="Arial"/>
        </w:rPr>
        <w:t xml:space="preserve"> </w:t>
      </w:r>
      <w:proofErr w:type="spellStart"/>
      <w:r>
        <w:rPr>
          <w:rFonts w:ascii="Arial" w:eastAsia="Arial" w:hAnsi="Arial" w:cs="Arial"/>
        </w:rPr>
        <w:t>MiSeq</w:t>
      </w:r>
      <w:proofErr w:type="spellEnd"/>
      <w:r>
        <w:rPr>
          <w:rFonts w:ascii="Arial" w:eastAsia="Arial" w:hAnsi="Arial" w:cs="Arial"/>
        </w:rPr>
        <w:t>.</w:t>
      </w:r>
    </w:p>
    <w:p w14:paraId="0000001F" w14:textId="77777777" w:rsidR="00AC6F8B" w:rsidRDefault="00000000">
      <w:pPr>
        <w:numPr>
          <w:ilvl w:val="0"/>
          <w:numId w:val="2"/>
        </w:numPr>
        <w:spacing w:line="276" w:lineRule="auto"/>
        <w:rPr>
          <w:rFonts w:ascii="Arial" w:eastAsia="Arial" w:hAnsi="Arial" w:cs="Arial"/>
        </w:rPr>
      </w:pPr>
      <w:r>
        <w:rPr>
          <w:rFonts w:ascii="Arial" w:eastAsia="Arial" w:hAnsi="Arial" w:cs="Arial"/>
        </w:rPr>
        <w:t>Procesar las secuencias obtenidas mediante un análisis bioinformático empleando QIIME2, incluyendo control de calidad, asignación taxonómica y generación de matrices de abundancia.</w:t>
      </w:r>
    </w:p>
    <w:p w14:paraId="00000020" w14:textId="77777777" w:rsidR="00AC6F8B" w:rsidRDefault="00000000">
      <w:pPr>
        <w:numPr>
          <w:ilvl w:val="0"/>
          <w:numId w:val="2"/>
        </w:numPr>
        <w:spacing w:line="276" w:lineRule="auto"/>
        <w:rPr>
          <w:rFonts w:ascii="Arial" w:eastAsia="Arial" w:hAnsi="Arial" w:cs="Arial"/>
        </w:rPr>
      </w:pPr>
      <w:r>
        <w:rPr>
          <w:rFonts w:ascii="Arial" w:eastAsia="Arial" w:hAnsi="Arial" w:cs="Arial"/>
        </w:rPr>
        <w:t xml:space="preserve">Comparar la diversidad microbiana y la abundancia relativa de especies clave, como </w:t>
      </w:r>
      <w:r>
        <w:rPr>
          <w:rFonts w:ascii="Arial" w:eastAsia="Arial" w:hAnsi="Arial" w:cs="Arial"/>
          <w:i/>
        </w:rPr>
        <w:t xml:space="preserve">S. </w:t>
      </w:r>
      <w:proofErr w:type="spellStart"/>
      <w:r>
        <w:rPr>
          <w:rFonts w:ascii="Arial" w:eastAsia="Arial" w:hAnsi="Arial" w:cs="Arial"/>
          <w:i/>
        </w:rPr>
        <w:t>aureus</w:t>
      </w:r>
      <w:proofErr w:type="spellEnd"/>
      <w:r>
        <w:rPr>
          <w:rFonts w:ascii="Arial" w:eastAsia="Arial" w:hAnsi="Arial" w:cs="Arial"/>
          <w:i/>
        </w:rPr>
        <w:t xml:space="preserve"> </w:t>
      </w:r>
      <w:r>
        <w:rPr>
          <w:rFonts w:ascii="Arial" w:eastAsia="Arial" w:hAnsi="Arial" w:cs="Arial"/>
        </w:rPr>
        <w:t xml:space="preserve">y </w:t>
      </w:r>
      <w:r>
        <w:rPr>
          <w:rFonts w:ascii="Arial" w:eastAsia="Arial" w:hAnsi="Arial" w:cs="Arial"/>
          <w:i/>
        </w:rPr>
        <w:t xml:space="preserve">S. </w:t>
      </w:r>
      <w:proofErr w:type="spellStart"/>
      <w:r>
        <w:rPr>
          <w:rFonts w:ascii="Arial" w:eastAsia="Arial" w:hAnsi="Arial" w:cs="Arial"/>
          <w:i/>
        </w:rPr>
        <w:t>epidermidis</w:t>
      </w:r>
      <w:proofErr w:type="spellEnd"/>
      <w:r>
        <w:rPr>
          <w:rFonts w:ascii="Arial" w:eastAsia="Arial" w:hAnsi="Arial" w:cs="Arial"/>
        </w:rPr>
        <w:t>, entre los grupos.</w:t>
      </w:r>
    </w:p>
    <w:p w14:paraId="00000021" w14:textId="77777777" w:rsidR="00AC6F8B" w:rsidRDefault="00000000">
      <w:pPr>
        <w:numPr>
          <w:ilvl w:val="0"/>
          <w:numId w:val="2"/>
        </w:numPr>
        <w:spacing w:line="276" w:lineRule="auto"/>
        <w:rPr>
          <w:rFonts w:ascii="Arial" w:eastAsia="Arial" w:hAnsi="Arial" w:cs="Arial"/>
        </w:rPr>
      </w:pPr>
      <w:r>
        <w:rPr>
          <w:rFonts w:ascii="Arial" w:eastAsia="Arial" w:hAnsi="Arial" w:cs="Arial"/>
        </w:rPr>
        <w:t>Explorar la asociación entre los cambios microbianos y la severidad clínica de la dermatitis atópica.</w:t>
      </w:r>
    </w:p>
    <w:p w14:paraId="00000022" w14:textId="77777777" w:rsidR="00AC6F8B" w:rsidRDefault="00000000">
      <w:pPr>
        <w:pStyle w:val="Ttulo"/>
        <w:spacing w:line="276" w:lineRule="auto"/>
        <w:rPr>
          <w:rFonts w:ascii="Arial" w:eastAsia="Arial" w:hAnsi="Arial" w:cs="Arial"/>
          <w:sz w:val="24"/>
          <w:szCs w:val="24"/>
        </w:rPr>
      </w:pPr>
      <w:bookmarkStart w:id="6" w:name="_heading=h.9bkaav6pkbo" w:colFirst="0" w:colLast="0"/>
      <w:bookmarkEnd w:id="6"/>
      <w:r>
        <w:rPr>
          <w:rFonts w:ascii="Arial" w:eastAsia="Arial" w:hAnsi="Arial" w:cs="Arial"/>
          <w:color w:val="0098CD"/>
          <w:sz w:val="24"/>
          <w:szCs w:val="24"/>
        </w:rPr>
        <w:t>Metodología</w:t>
      </w:r>
    </w:p>
    <w:p w14:paraId="00000023" w14:textId="77777777" w:rsidR="00AC6F8B" w:rsidRDefault="00000000">
      <w:pPr>
        <w:spacing w:line="276" w:lineRule="auto"/>
        <w:rPr>
          <w:rFonts w:ascii="Arial" w:eastAsia="Arial" w:hAnsi="Arial" w:cs="Arial"/>
        </w:rPr>
      </w:pPr>
      <w:r>
        <w:rPr>
          <w:rFonts w:ascii="Arial" w:eastAsia="Arial" w:hAnsi="Arial" w:cs="Arial"/>
        </w:rPr>
        <w:t xml:space="preserve">Para poder alcanzar los objetivos descritos en el apartado anterior y poder caracterizar y comparar el microbioma cutáneo de individuos con dermatitis atópica con el de sujetos sanos, se deben de seguir una serie de pasos en la secuenciación de genomas bacterianos y el uso de herramientas </w:t>
      </w:r>
      <w:proofErr w:type="spellStart"/>
      <w:r>
        <w:rPr>
          <w:rFonts w:ascii="Arial" w:eastAsia="Arial" w:hAnsi="Arial" w:cs="Arial"/>
        </w:rPr>
        <w:t>ómicas</w:t>
      </w:r>
      <w:proofErr w:type="spellEnd"/>
      <w:r>
        <w:rPr>
          <w:rFonts w:ascii="Arial" w:eastAsia="Arial" w:hAnsi="Arial" w:cs="Arial"/>
        </w:rPr>
        <w:t xml:space="preserve"> junto a análisis estadísticos que nos permitan obtener unos resultados fiables y bien argumentados. </w:t>
      </w:r>
    </w:p>
    <w:p w14:paraId="00000024" w14:textId="77777777" w:rsidR="00AC6F8B" w:rsidRDefault="00AC6F8B">
      <w:pPr>
        <w:spacing w:line="276" w:lineRule="auto"/>
        <w:rPr>
          <w:rFonts w:ascii="Arial" w:eastAsia="Arial" w:hAnsi="Arial" w:cs="Arial"/>
        </w:rPr>
      </w:pPr>
    </w:p>
    <w:p w14:paraId="00000025" w14:textId="77777777" w:rsidR="00AC6F8B" w:rsidRDefault="00000000">
      <w:pPr>
        <w:numPr>
          <w:ilvl w:val="0"/>
          <w:numId w:val="6"/>
        </w:numPr>
        <w:spacing w:line="276" w:lineRule="auto"/>
      </w:pPr>
      <w:r>
        <w:rPr>
          <w:rFonts w:ascii="Arial" w:eastAsia="Arial" w:hAnsi="Arial" w:cs="Arial"/>
          <w:b/>
        </w:rPr>
        <w:t>Muestreo y selección de pacientes</w:t>
      </w:r>
      <w:r>
        <w:rPr>
          <w:rFonts w:ascii="Arial" w:eastAsia="Arial" w:hAnsi="Arial" w:cs="Arial"/>
        </w:rPr>
        <w:t xml:space="preserve"> </w:t>
      </w:r>
    </w:p>
    <w:p w14:paraId="00000026" w14:textId="73E41119" w:rsidR="00AC6F8B" w:rsidRDefault="00000000">
      <w:pPr>
        <w:spacing w:line="276" w:lineRule="auto"/>
        <w:rPr>
          <w:rFonts w:ascii="Arial" w:eastAsia="Arial" w:hAnsi="Arial" w:cs="Arial"/>
        </w:rPr>
      </w:pPr>
      <w:r>
        <w:rPr>
          <w:rFonts w:ascii="Arial" w:eastAsia="Arial" w:hAnsi="Arial" w:cs="Arial"/>
        </w:rPr>
        <w:t xml:space="preserve">Se deben de recoger muestras de pacientes sanos, denominados también como grupo control, que no sufran o hayan sufrido dermatitis atópica en algún momento de su vida. Por otro lado, se deberán de seleccionar pacientes diagnosticados con DA. Dentro de este grupo se podrían hacer varios subgrupos, por </w:t>
      </w:r>
      <w:r w:rsidR="00AC58A5">
        <w:rPr>
          <w:rFonts w:ascii="Arial" w:eastAsia="Arial" w:hAnsi="Arial" w:cs="Arial"/>
        </w:rPr>
        <w:t>ejemplo,</w:t>
      </w:r>
      <w:r>
        <w:rPr>
          <w:rFonts w:ascii="Arial" w:eastAsia="Arial" w:hAnsi="Arial" w:cs="Arial"/>
        </w:rPr>
        <w:t xml:space="preserve"> según severidad clínica, tipo de tratamiento que está realizando la persona o tiempo que lleva con el tratamiento. Otros factores que podrían tenerse en cuenta, si el grupo sobre el que se va a realizar el muestreo es suficientemente grande, sería una división por sexo o por grupos de edad. </w:t>
      </w:r>
    </w:p>
    <w:p w14:paraId="00000027" w14:textId="77777777" w:rsidR="00AC6F8B" w:rsidRDefault="00000000">
      <w:pPr>
        <w:spacing w:line="276" w:lineRule="auto"/>
        <w:rPr>
          <w:rFonts w:ascii="Arial" w:eastAsia="Arial" w:hAnsi="Arial" w:cs="Arial"/>
        </w:rPr>
      </w:pPr>
      <w:r>
        <w:rPr>
          <w:rFonts w:ascii="Arial" w:eastAsia="Arial" w:hAnsi="Arial" w:cs="Arial"/>
        </w:rPr>
        <w:t xml:space="preserve">Si no se tuviera acceso directo a pacientes de los que obtener las muestras o un equipo de laboratorio para su análisis, se podrían utilizar datos provenientes de repositorios públicos, como por ejemplo en el NCBI el apartado de </w:t>
      </w:r>
      <w:proofErr w:type="spellStart"/>
      <w:r>
        <w:rPr>
          <w:rFonts w:ascii="Arial" w:eastAsia="Arial" w:hAnsi="Arial" w:cs="Arial"/>
        </w:rPr>
        <w:t>Sequence</w:t>
      </w:r>
      <w:proofErr w:type="spellEnd"/>
      <w:r>
        <w:rPr>
          <w:rFonts w:ascii="Arial" w:eastAsia="Arial" w:hAnsi="Arial" w:cs="Arial"/>
        </w:rPr>
        <w:t xml:space="preserve"> </w:t>
      </w:r>
      <w:proofErr w:type="spellStart"/>
      <w:r>
        <w:rPr>
          <w:rFonts w:ascii="Arial" w:eastAsia="Arial" w:hAnsi="Arial" w:cs="Arial"/>
        </w:rPr>
        <w:t>Read</w:t>
      </w:r>
      <w:proofErr w:type="spellEnd"/>
      <w:r>
        <w:rPr>
          <w:rFonts w:ascii="Arial" w:eastAsia="Arial" w:hAnsi="Arial" w:cs="Arial"/>
        </w:rPr>
        <w:t xml:space="preserve"> Archive (SRA), el mayor repositorio público abierto de datos secuenciados.  En este caso se seleccionan </w:t>
      </w:r>
      <w:proofErr w:type="spellStart"/>
      <w:r>
        <w:rPr>
          <w:rFonts w:ascii="Arial" w:eastAsia="Arial" w:hAnsi="Arial" w:cs="Arial"/>
        </w:rPr>
        <w:t>datasets</w:t>
      </w:r>
      <w:proofErr w:type="spellEnd"/>
      <w:r>
        <w:rPr>
          <w:rFonts w:ascii="Arial" w:eastAsia="Arial" w:hAnsi="Arial" w:cs="Arial"/>
        </w:rPr>
        <w:t xml:space="preserve"> que </w:t>
      </w:r>
      <w:r>
        <w:rPr>
          <w:rFonts w:ascii="Arial" w:eastAsia="Arial" w:hAnsi="Arial" w:cs="Arial"/>
        </w:rPr>
        <w:lastRenderedPageBreak/>
        <w:t xml:space="preserve">incluyan secuencias de genoma 16s tanto de RNA como DNA dependiendo de la especie bacteriana, provenientes tanto de pacientes sanos como con DA, y si fuera posible de los que se tuviera información clínica como la descrita anteriormente (edad, diagnóstico, tratamiento, </w:t>
      </w:r>
      <w:proofErr w:type="spellStart"/>
      <w:r>
        <w:rPr>
          <w:rFonts w:ascii="Arial" w:eastAsia="Arial" w:hAnsi="Arial" w:cs="Arial"/>
        </w:rPr>
        <w:t>etc</w:t>
      </w:r>
      <w:proofErr w:type="spellEnd"/>
      <w:r>
        <w:rPr>
          <w:rFonts w:ascii="Arial" w:eastAsia="Arial" w:hAnsi="Arial" w:cs="Arial"/>
        </w:rPr>
        <w:t xml:space="preserve">). </w:t>
      </w:r>
    </w:p>
    <w:p w14:paraId="00000028" w14:textId="77777777" w:rsidR="00AC6F8B" w:rsidRDefault="00AC6F8B">
      <w:pPr>
        <w:spacing w:line="276" w:lineRule="auto"/>
        <w:rPr>
          <w:rFonts w:ascii="Arial" w:eastAsia="Arial" w:hAnsi="Arial" w:cs="Arial"/>
        </w:rPr>
      </w:pPr>
    </w:p>
    <w:p w14:paraId="00000029" w14:textId="77777777" w:rsidR="00AC6F8B" w:rsidRDefault="00000000">
      <w:pPr>
        <w:numPr>
          <w:ilvl w:val="0"/>
          <w:numId w:val="6"/>
        </w:numPr>
        <w:spacing w:line="276" w:lineRule="auto"/>
        <w:rPr>
          <w:rFonts w:ascii="Arial" w:eastAsia="Arial" w:hAnsi="Arial" w:cs="Arial"/>
          <w:b/>
        </w:rPr>
      </w:pPr>
      <w:r>
        <w:rPr>
          <w:rFonts w:ascii="Arial" w:eastAsia="Arial" w:hAnsi="Arial" w:cs="Arial"/>
          <w:b/>
        </w:rPr>
        <w:t xml:space="preserve">Extracción del DNA, amplificación y secuenciación del gen 16S del </w:t>
      </w:r>
      <w:proofErr w:type="spellStart"/>
      <w:r>
        <w:rPr>
          <w:rFonts w:ascii="Arial" w:eastAsia="Arial" w:hAnsi="Arial" w:cs="Arial"/>
          <w:b/>
        </w:rPr>
        <w:t>rRNA</w:t>
      </w:r>
      <w:proofErr w:type="spellEnd"/>
    </w:p>
    <w:p w14:paraId="0000002A" w14:textId="17144F4F" w:rsidR="00AC6F8B" w:rsidRDefault="00000000" w:rsidP="00AC58A5">
      <w:pPr>
        <w:spacing w:line="276" w:lineRule="auto"/>
        <w:rPr>
          <w:rFonts w:ascii="Arial" w:eastAsia="Arial" w:hAnsi="Arial" w:cs="Arial"/>
        </w:rPr>
      </w:pPr>
      <w:r>
        <w:rPr>
          <w:rFonts w:ascii="Arial" w:eastAsia="Arial" w:hAnsi="Arial" w:cs="Arial"/>
        </w:rPr>
        <w:t xml:space="preserve">Tras la recolección de muestras cutáneas (propias o provenientes de repositorios públicos como el </w:t>
      </w:r>
      <w:proofErr w:type="spellStart"/>
      <w:r>
        <w:rPr>
          <w:rFonts w:ascii="Arial" w:eastAsia="Arial" w:hAnsi="Arial" w:cs="Arial"/>
        </w:rPr>
        <w:t>Sequence</w:t>
      </w:r>
      <w:proofErr w:type="spellEnd"/>
      <w:r>
        <w:rPr>
          <w:rFonts w:ascii="Arial" w:eastAsia="Arial" w:hAnsi="Arial" w:cs="Arial"/>
        </w:rPr>
        <w:t xml:space="preserve"> </w:t>
      </w:r>
      <w:proofErr w:type="spellStart"/>
      <w:r>
        <w:rPr>
          <w:rFonts w:ascii="Arial" w:eastAsia="Arial" w:hAnsi="Arial" w:cs="Arial"/>
        </w:rPr>
        <w:t>Read</w:t>
      </w:r>
      <w:proofErr w:type="spellEnd"/>
      <w:r>
        <w:rPr>
          <w:rFonts w:ascii="Arial" w:eastAsia="Arial" w:hAnsi="Arial" w:cs="Arial"/>
        </w:rPr>
        <w:t xml:space="preserve"> Archive del NCBI), se procederá a la extracción de DNA microbiano. Esta etapa requiere métodos que minimicen la pérdida de material genético y eviten la introducción de contaminantes, siendo fundamental incorporar controles negativos durante la extracción. El proceso de lisis celular debe adaptarse a la resistencia diferencial de las bacterias: las </w:t>
      </w:r>
      <w:proofErr w:type="spellStart"/>
      <w:r>
        <w:rPr>
          <w:rFonts w:ascii="Arial" w:eastAsia="Arial" w:hAnsi="Arial" w:cs="Arial"/>
        </w:rPr>
        <w:t>gram</w:t>
      </w:r>
      <w:proofErr w:type="spellEnd"/>
      <w:r>
        <w:rPr>
          <w:rFonts w:ascii="Arial" w:eastAsia="Arial" w:hAnsi="Arial" w:cs="Arial"/>
        </w:rPr>
        <w:t xml:space="preserve"> positivas, como </w:t>
      </w:r>
      <w:proofErr w:type="spellStart"/>
      <w:r>
        <w:rPr>
          <w:rFonts w:ascii="Arial" w:eastAsia="Arial" w:hAnsi="Arial" w:cs="Arial"/>
        </w:rPr>
        <w:t>Staphylococcus</w:t>
      </w:r>
      <w:proofErr w:type="spellEnd"/>
      <w:r>
        <w:rPr>
          <w:rFonts w:ascii="Arial" w:eastAsia="Arial" w:hAnsi="Arial" w:cs="Arial"/>
        </w:rPr>
        <w:t xml:space="preserve"> </w:t>
      </w:r>
      <w:proofErr w:type="spellStart"/>
      <w:r>
        <w:rPr>
          <w:rFonts w:ascii="Arial" w:eastAsia="Arial" w:hAnsi="Arial" w:cs="Arial"/>
        </w:rPr>
        <w:t>spp</w:t>
      </w:r>
      <w:proofErr w:type="spellEnd"/>
      <w:r>
        <w:rPr>
          <w:rFonts w:ascii="Arial" w:eastAsia="Arial" w:hAnsi="Arial" w:cs="Arial"/>
        </w:rPr>
        <w:t>., requieren técnicas más intensivas, combinando métodos químicos (como detergentes o enzimas) con físicos (</w:t>
      </w:r>
      <w:proofErr w:type="spellStart"/>
      <w:r>
        <w:rPr>
          <w:rFonts w:ascii="Arial" w:eastAsia="Arial" w:hAnsi="Arial" w:cs="Arial"/>
        </w:rPr>
        <w:t>bead</w:t>
      </w:r>
      <w:proofErr w:type="spellEnd"/>
      <w:r>
        <w:rPr>
          <w:rFonts w:ascii="Arial" w:eastAsia="Arial" w:hAnsi="Arial" w:cs="Arial"/>
        </w:rPr>
        <w:t xml:space="preserve"> </w:t>
      </w:r>
      <w:proofErr w:type="spellStart"/>
      <w:r>
        <w:rPr>
          <w:rFonts w:ascii="Arial" w:eastAsia="Arial" w:hAnsi="Arial" w:cs="Arial"/>
        </w:rPr>
        <w:t>beating</w:t>
      </w:r>
      <w:proofErr w:type="spellEnd"/>
      <w:r>
        <w:rPr>
          <w:rFonts w:ascii="Arial" w:eastAsia="Arial" w:hAnsi="Arial" w:cs="Arial"/>
        </w:rPr>
        <w:t>) para asegurar una lisis eficiente</w:t>
      </w:r>
      <w:r w:rsidR="00AC58A5">
        <w:rPr>
          <w:rFonts w:ascii="Arial" w:eastAsia="Arial" w:hAnsi="Arial" w:cs="Arial"/>
        </w:rPr>
        <w:t xml:space="preserve"> y </w:t>
      </w:r>
      <w:r>
        <w:rPr>
          <w:rFonts w:ascii="Arial" w:eastAsia="Arial" w:hAnsi="Arial" w:cs="Arial"/>
        </w:rPr>
        <w:t>representativa.</w:t>
      </w:r>
      <w:r>
        <w:rPr>
          <w:rFonts w:ascii="Arial" w:eastAsia="Arial" w:hAnsi="Arial" w:cs="Arial"/>
        </w:rPr>
        <w:br/>
        <w:t xml:space="preserve">Una vez extraído el DNA, se realizará la amplificación por PCR de regiones específicas del gen 16S del RNA ribosomal, el cual contiene regiones conservadas y variables (V1-V9) útiles para la identificación taxonómica. En estudios de microbioma cutáneo, la región V1-V3 es particularmente adecuada para discriminar especies de </w:t>
      </w:r>
      <w:proofErr w:type="spellStart"/>
      <w:r>
        <w:rPr>
          <w:rFonts w:ascii="Arial" w:eastAsia="Arial" w:hAnsi="Arial" w:cs="Arial"/>
          <w:i/>
        </w:rPr>
        <w:t>Staphylococcus</w:t>
      </w:r>
      <w:proofErr w:type="spellEnd"/>
      <w:r>
        <w:rPr>
          <w:rFonts w:ascii="Arial" w:eastAsia="Arial" w:hAnsi="Arial" w:cs="Arial"/>
        </w:rPr>
        <w:t>, por lo que se utilizarán cebadores específicos para esta región (como F27-R534 o F9-R534).</w:t>
      </w:r>
      <w:r>
        <w:rPr>
          <w:rFonts w:ascii="Arial" w:eastAsia="Arial" w:hAnsi="Arial" w:cs="Arial"/>
        </w:rPr>
        <w:br/>
        <w:t xml:space="preserve">La elección de la plataforma de secuenciación es un aspecto crítico del diseño experimental. Tecnologías como </w:t>
      </w:r>
      <w:proofErr w:type="spellStart"/>
      <w:r>
        <w:rPr>
          <w:rFonts w:ascii="Arial" w:eastAsia="Arial" w:hAnsi="Arial" w:cs="Arial"/>
        </w:rPr>
        <w:t>Illumina</w:t>
      </w:r>
      <w:proofErr w:type="spellEnd"/>
      <w:r>
        <w:rPr>
          <w:rFonts w:ascii="Arial" w:eastAsia="Arial" w:hAnsi="Arial" w:cs="Arial"/>
        </w:rPr>
        <w:t xml:space="preserve"> </w:t>
      </w:r>
      <w:proofErr w:type="spellStart"/>
      <w:r>
        <w:rPr>
          <w:rFonts w:ascii="Arial" w:eastAsia="Arial" w:hAnsi="Arial" w:cs="Arial"/>
        </w:rPr>
        <w:t>MiSeq</w:t>
      </w:r>
      <w:proofErr w:type="spellEnd"/>
      <w:r>
        <w:rPr>
          <w:rFonts w:ascii="Arial" w:eastAsia="Arial" w:hAnsi="Arial" w:cs="Arial"/>
        </w:rPr>
        <w:t xml:space="preserve">, ampliamente utilizadas en estudios de microbioma, ofrecen una alta precisión y capacidad de secuenciación masiva en paralelo, adecuada para amplificaciones del gen 16S </w:t>
      </w:r>
      <w:proofErr w:type="spellStart"/>
      <w:r>
        <w:rPr>
          <w:rFonts w:ascii="Arial" w:eastAsia="Arial" w:hAnsi="Arial" w:cs="Arial"/>
        </w:rPr>
        <w:t>rRNA</w:t>
      </w:r>
      <w:proofErr w:type="spellEnd"/>
      <w:r>
        <w:rPr>
          <w:rFonts w:ascii="Arial" w:eastAsia="Arial" w:hAnsi="Arial" w:cs="Arial"/>
        </w:rPr>
        <w:t xml:space="preserve"> de entre 250-600 pb. En este estudio, se optará por una plataforma que permita cubrir adecuadamente la región V1-V3 del gen 16S, que ofrece buena resolución taxonómica para especies de relevancia clínica como </w:t>
      </w:r>
      <w:proofErr w:type="spellStart"/>
      <w:r>
        <w:rPr>
          <w:rFonts w:ascii="Arial" w:eastAsia="Arial" w:hAnsi="Arial" w:cs="Arial"/>
          <w:i/>
        </w:rPr>
        <w:t>Staphylococcus</w:t>
      </w:r>
      <w:proofErr w:type="spellEnd"/>
      <w:r>
        <w:rPr>
          <w:rFonts w:ascii="Arial" w:eastAsia="Arial" w:hAnsi="Arial" w:cs="Arial"/>
          <w:i/>
        </w:rPr>
        <w:t xml:space="preserve"> </w:t>
      </w:r>
      <w:proofErr w:type="spellStart"/>
      <w:r>
        <w:rPr>
          <w:rFonts w:ascii="Arial" w:eastAsia="Arial" w:hAnsi="Arial" w:cs="Arial"/>
          <w:i/>
        </w:rPr>
        <w:t>aureus</w:t>
      </w:r>
      <w:proofErr w:type="spellEnd"/>
      <w:r>
        <w:rPr>
          <w:rFonts w:ascii="Arial" w:eastAsia="Arial" w:hAnsi="Arial" w:cs="Arial"/>
        </w:rPr>
        <w:t>. La decisión final dependerá de factores como la longitud del fragmento amplificado, el número de muestras, el nivel de profundidad requerido y los recursos disponibles.</w:t>
      </w:r>
    </w:p>
    <w:p w14:paraId="0000002B" w14:textId="77777777" w:rsidR="00AC6F8B" w:rsidRDefault="00AC6F8B">
      <w:pPr>
        <w:spacing w:line="276" w:lineRule="auto"/>
        <w:rPr>
          <w:rFonts w:ascii="Arial" w:eastAsia="Arial" w:hAnsi="Arial" w:cs="Arial"/>
        </w:rPr>
      </w:pPr>
    </w:p>
    <w:p w14:paraId="0000002C" w14:textId="77777777" w:rsidR="00AC6F8B" w:rsidRDefault="00000000">
      <w:pPr>
        <w:numPr>
          <w:ilvl w:val="0"/>
          <w:numId w:val="6"/>
        </w:numPr>
        <w:spacing w:line="276" w:lineRule="auto"/>
        <w:rPr>
          <w:rFonts w:ascii="Arial" w:eastAsia="Arial" w:hAnsi="Arial" w:cs="Arial"/>
          <w:b/>
        </w:rPr>
      </w:pPr>
      <w:r>
        <w:rPr>
          <w:rFonts w:ascii="Arial" w:eastAsia="Arial" w:hAnsi="Arial" w:cs="Arial"/>
          <w:b/>
        </w:rPr>
        <w:t>Análisis bioinformático de las secuencias</w:t>
      </w:r>
    </w:p>
    <w:p w14:paraId="0000002D" w14:textId="77777777" w:rsidR="00AC6F8B" w:rsidRDefault="00000000">
      <w:pPr>
        <w:spacing w:line="276" w:lineRule="auto"/>
        <w:rPr>
          <w:rFonts w:ascii="Arial" w:eastAsia="Arial" w:hAnsi="Arial" w:cs="Arial"/>
        </w:rPr>
      </w:pPr>
      <w:r>
        <w:rPr>
          <w:rFonts w:ascii="Arial" w:eastAsia="Arial" w:hAnsi="Arial" w:cs="Arial"/>
        </w:rPr>
        <w:t xml:space="preserve">Para procesar las secuencias obtenidas de la amplificación del gen 16S </w:t>
      </w:r>
      <w:proofErr w:type="spellStart"/>
      <w:r>
        <w:rPr>
          <w:rFonts w:ascii="Arial" w:eastAsia="Arial" w:hAnsi="Arial" w:cs="Arial"/>
        </w:rPr>
        <w:t>rRNA</w:t>
      </w:r>
      <w:proofErr w:type="spellEnd"/>
      <w:r>
        <w:rPr>
          <w:rFonts w:ascii="Arial" w:eastAsia="Arial" w:hAnsi="Arial" w:cs="Arial"/>
        </w:rPr>
        <w:t>, se seguirá un protocolo estándar utilizando la plataforma QIIME2, que incluye las siguientes etapas:</w:t>
      </w:r>
    </w:p>
    <w:p w14:paraId="0000002E" w14:textId="77777777" w:rsidR="00AC6F8B" w:rsidRDefault="00000000">
      <w:pPr>
        <w:numPr>
          <w:ilvl w:val="0"/>
          <w:numId w:val="1"/>
        </w:numPr>
        <w:spacing w:line="276" w:lineRule="auto"/>
        <w:rPr>
          <w:rFonts w:ascii="Arial" w:eastAsia="Arial" w:hAnsi="Arial" w:cs="Arial"/>
        </w:rPr>
      </w:pPr>
      <w:r>
        <w:rPr>
          <w:rFonts w:ascii="Arial" w:eastAsia="Arial" w:hAnsi="Arial" w:cs="Arial"/>
          <w:u w:val="single"/>
        </w:rPr>
        <w:t>Control de calidad</w:t>
      </w:r>
      <w:r>
        <w:rPr>
          <w:rFonts w:ascii="Arial" w:eastAsia="Arial" w:hAnsi="Arial" w:cs="Arial"/>
        </w:rPr>
        <w:t>: se filtrarán las secuencias crudas para eliminar lecturas de baja calidad, adaptadores y posibles contaminantes. Esto asegura que los datos utilizados para el análisis posterior sean fiables y representativos de las comunidades microbianas presentes en las muestras.</w:t>
      </w:r>
    </w:p>
    <w:p w14:paraId="0000002F" w14:textId="77777777" w:rsidR="00AC6F8B" w:rsidRDefault="00000000">
      <w:pPr>
        <w:numPr>
          <w:ilvl w:val="0"/>
          <w:numId w:val="1"/>
        </w:numPr>
        <w:spacing w:line="276" w:lineRule="auto"/>
        <w:rPr>
          <w:rFonts w:ascii="Arial" w:eastAsia="Arial" w:hAnsi="Arial" w:cs="Arial"/>
        </w:rPr>
      </w:pPr>
      <w:r>
        <w:rPr>
          <w:rFonts w:ascii="Arial" w:eastAsia="Arial" w:hAnsi="Arial" w:cs="Arial"/>
          <w:u w:val="single"/>
        </w:rPr>
        <w:lastRenderedPageBreak/>
        <w:t>Ensamblaje de secuencias</w:t>
      </w:r>
      <w:r>
        <w:rPr>
          <w:rFonts w:ascii="Arial" w:eastAsia="Arial" w:hAnsi="Arial" w:cs="Arial"/>
        </w:rPr>
        <w:t xml:space="preserve">: las lecturas obtenidas en pares (forward y reverse) se ensamblan para reconstruir la secuencia completa del fragmento amplificado del gen 16S </w:t>
      </w:r>
      <w:proofErr w:type="spellStart"/>
      <w:r>
        <w:rPr>
          <w:rFonts w:ascii="Arial" w:eastAsia="Arial" w:hAnsi="Arial" w:cs="Arial"/>
        </w:rPr>
        <w:t>rRNA</w:t>
      </w:r>
      <w:proofErr w:type="spellEnd"/>
      <w:r>
        <w:rPr>
          <w:rFonts w:ascii="Arial" w:eastAsia="Arial" w:hAnsi="Arial" w:cs="Arial"/>
        </w:rPr>
        <w:t>. Este paso es fundamental para mejorar la precisión en la asignación taxonómica, y puede realizarse mediante algoritmos de solapamiento o de ensamblaje de extremos coincidentes dependiendo de la longitud y calidad de las lecturas.</w:t>
      </w:r>
    </w:p>
    <w:p w14:paraId="00000030" w14:textId="77777777" w:rsidR="00AC6F8B" w:rsidRDefault="00000000">
      <w:pPr>
        <w:numPr>
          <w:ilvl w:val="0"/>
          <w:numId w:val="1"/>
        </w:numPr>
        <w:spacing w:line="276" w:lineRule="auto"/>
        <w:rPr>
          <w:rFonts w:ascii="Arial" w:eastAsia="Arial" w:hAnsi="Arial" w:cs="Arial"/>
        </w:rPr>
      </w:pPr>
      <w:r>
        <w:rPr>
          <w:rFonts w:ascii="Arial" w:eastAsia="Arial" w:hAnsi="Arial" w:cs="Arial"/>
          <w:u w:val="single"/>
        </w:rPr>
        <w:t>Agrupación de secuencias</w:t>
      </w:r>
      <w:r>
        <w:rPr>
          <w:rFonts w:ascii="Arial" w:eastAsia="Arial" w:hAnsi="Arial" w:cs="Arial"/>
        </w:rPr>
        <w:t>: las secuencias filtradas y ensambladas se agrupan en Unidades Taxonómicas Operativas (</w:t>
      </w:r>
      <w:proofErr w:type="spellStart"/>
      <w:r>
        <w:rPr>
          <w:rFonts w:ascii="Arial" w:eastAsia="Arial" w:hAnsi="Arial" w:cs="Arial"/>
        </w:rPr>
        <w:t>OTUs</w:t>
      </w:r>
      <w:proofErr w:type="spellEnd"/>
      <w:r>
        <w:rPr>
          <w:rFonts w:ascii="Arial" w:eastAsia="Arial" w:hAnsi="Arial" w:cs="Arial"/>
        </w:rPr>
        <w:t xml:space="preserve">) basadas en un umbral de similitud del 97%. Este agrupamiento se realiza mediante algoritmos de </w:t>
      </w:r>
      <w:proofErr w:type="spellStart"/>
      <w:r>
        <w:rPr>
          <w:rFonts w:ascii="Arial" w:eastAsia="Arial" w:hAnsi="Arial" w:cs="Arial"/>
        </w:rPr>
        <w:t>clustering</w:t>
      </w:r>
      <w:proofErr w:type="spellEnd"/>
      <w:r>
        <w:rPr>
          <w:rFonts w:ascii="Arial" w:eastAsia="Arial" w:hAnsi="Arial" w:cs="Arial"/>
        </w:rPr>
        <w:t xml:space="preserve">, como UCLUST o VSEARCH, que agrupan secuencias muy similares para representar especies bacterianas aproximadas. El uso de </w:t>
      </w:r>
      <w:proofErr w:type="spellStart"/>
      <w:r>
        <w:rPr>
          <w:rFonts w:ascii="Arial" w:eastAsia="Arial" w:hAnsi="Arial" w:cs="Arial"/>
        </w:rPr>
        <w:t>OTUs</w:t>
      </w:r>
      <w:proofErr w:type="spellEnd"/>
      <w:r>
        <w:rPr>
          <w:rFonts w:ascii="Arial" w:eastAsia="Arial" w:hAnsi="Arial" w:cs="Arial"/>
        </w:rPr>
        <w:t xml:space="preserve"> permite reducir el ruido debido a errores de secuenciación y facilita el análisis comparativo entre muestras. Estas </w:t>
      </w:r>
      <w:proofErr w:type="spellStart"/>
      <w:r>
        <w:rPr>
          <w:rFonts w:ascii="Arial" w:eastAsia="Arial" w:hAnsi="Arial" w:cs="Arial"/>
        </w:rPr>
        <w:t>OTUs</w:t>
      </w:r>
      <w:proofErr w:type="spellEnd"/>
      <w:r>
        <w:rPr>
          <w:rFonts w:ascii="Arial" w:eastAsia="Arial" w:hAnsi="Arial" w:cs="Arial"/>
        </w:rPr>
        <w:t xml:space="preserve"> constituyen la base para los análisis posteriores de composición y diversidad microbiana.</w:t>
      </w:r>
    </w:p>
    <w:p w14:paraId="00000031" w14:textId="77777777" w:rsidR="00AC6F8B" w:rsidRDefault="00000000">
      <w:pPr>
        <w:numPr>
          <w:ilvl w:val="0"/>
          <w:numId w:val="1"/>
        </w:numPr>
        <w:spacing w:line="276" w:lineRule="auto"/>
        <w:rPr>
          <w:rFonts w:ascii="Arial" w:eastAsia="Arial" w:hAnsi="Arial" w:cs="Arial"/>
        </w:rPr>
      </w:pPr>
      <w:r>
        <w:rPr>
          <w:rFonts w:ascii="Arial" w:eastAsia="Arial" w:hAnsi="Arial" w:cs="Arial"/>
          <w:u w:val="single"/>
        </w:rPr>
        <w:t>Anotación taxonómica</w:t>
      </w:r>
      <w:r>
        <w:rPr>
          <w:rFonts w:ascii="Arial" w:eastAsia="Arial" w:hAnsi="Arial" w:cs="Arial"/>
        </w:rPr>
        <w:t xml:space="preserve">: las </w:t>
      </w:r>
      <w:proofErr w:type="spellStart"/>
      <w:r>
        <w:rPr>
          <w:rFonts w:ascii="Arial" w:eastAsia="Arial" w:hAnsi="Arial" w:cs="Arial"/>
        </w:rPr>
        <w:t>OTUs</w:t>
      </w:r>
      <w:proofErr w:type="spellEnd"/>
      <w:r>
        <w:rPr>
          <w:rFonts w:ascii="Arial" w:eastAsia="Arial" w:hAnsi="Arial" w:cs="Arial"/>
        </w:rPr>
        <w:t xml:space="preserve"> obtenidas se comparan con bases de datos de referencia como SILVA o </w:t>
      </w:r>
      <w:proofErr w:type="spellStart"/>
      <w:r>
        <w:rPr>
          <w:rFonts w:ascii="Arial" w:eastAsia="Arial" w:hAnsi="Arial" w:cs="Arial"/>
        </w:rPr>
        <w:t>Greengenes</w:t>
      </w:r>
      <w:proofErr w:type="spellEnd"/>
      <w:r>
        <w:rPr>
          <w:rFonts w:ascii="Arial" w:eastAsia="Arial" w:hAnsi="Arial" w:cs="Arial"/>
        </w:rPr>
        <w:t xml:space="preserve"> para asignarles una clasificación taxonómica que puede abarcar desde el filo hasta el nivel de especie cuando sea posible. Este proceso es fundamental para identificar los microorganismos presentes en </w:t>
      </w:r>
      <w:proofErr w:type="gramStart"/>
      <w:r>
        <w:rPr>
          <w:rFonts w:ascii="Arial" w:eastAsia="Arial" w:hAnsi="Arial" w:cs="Arial"/>
        </w:rPr>
        <w:t>la microbiota</w:t>
      </w:r>
      <w:proofErr w:type="gramEnd"/>
      <w:r>
        <w:rPr>
          <w:rFonts w:ascii="Arial" w:eastAsia="Arial" w:hAnsi="Arial" w:cs="Arial"/>
        </w:rPr>
        <w:t xml:space="preserve"> de las muestras analizadas.</w:t>
      </w:r>
    </w:p>
    <w:p w14:paraId="00000032" w14:textId="77777777" w:rsidR="00AC6F8B" w:rsidRDefault="00AC6F8B">
      <w:pPr>
        <w:spacing w:line="276" w:lineRule="auto"/>
        <w:rPr>
          <w:rFonts w:ascii="Arial" w:eastAsia="Arial" w:hAnsi="Arial" w:cs="Arial"/>
        </w:rPr>
      </w:pPr>
    </w:p>
    <w:p w14:paraId="00000033" w14:textId="77777777" w:rsidR="00AC6F8B" w:rsidRDefault="00AC6F8B">
      <w:pPr>
        <w:spacing w:line="276" w:lineRule="auto"/>
        <w:rPr>
          <w:rFonts w:ascii="Arial" w:eastAsia="Arial" w:hAnsi="Arial" w:cs="Arial"/>
        </w:rPr>
      </w:pPr>
    </w:p>
    <w:p w14:paraId="00000034" w14:textId="77777777" w:rsidR="00AC6F8B" w:rsidRDefault="00000000">
      <w:pPr>
        <w:numPr>
          <w:ilvl w:val="0"/>
          <w:numId w:val="6"/>
        </w:numPr>
        <w:spacing w:line="276" w:lineRule="auto"/>
        <w:rPr>
          <w:rFonts w:ascii="Arial" w:eastAsia="Arial" w:hAnsi="Arial" w:cs="Arial"/>
          <w:b/>
        </w:rPr>
      </w:pPr>
      <w:r>
        <w:rPr>
          <w:rFonts w:ascii="Arial" w:eastAsia="Arial" w:hAnsi="Arial" w:cs="Arial"/>
          <w:b/>
        </w:rPr>
        <w:t>Comparación de la diversidad microbiana y la abundancia relativa de especies clave entre grupos</w:t>
      </w:r>
    </w:p>
    <w:p w14:paraId="00000035" w14:textId="013338FC" w:rsidR="00AC6F8B" w:rsidRDefault="00000000">
      <w:pPr>
        <w:spacing w:line="276" w:lineRule="auto"/>
        <w:rPr>
          <w:rFonts w:ascii="Arial" w:eastAsia="Arial" w:hAnsi="Arial" w:cs="Arial"/>
        </w:rPr>
      </w:pPr>
      <w:r>
        <w:rPr>
          <w:rFonts w:ascii="Arial" w:eastAsia="Arial" w:hAnsi="Arial" w:cs="Arial"/>
        </w:rPr>
        <w:t xml:space="preserve">Para comparar la diversidad microbiana entre pacientes con dermatitis atópica y controles sanos, se calcularán índices de diversidad alfa, tales como el índice de Shannon y la riqueza observada, que reflejan la diversidad y abundancia de </w:t>
      </w:r>
      <w:proofErr w:type="spellStart"/>
      <w:r>
        <w:rPr>
          <w:rFonts w:ascii="Arial" w:eastAsia="Arial" w:hAnsi="Arial" w:cs="Arial"/>
        </w:rPr>
        <w:t>OTUs</w:t>
      </w:r>
      <w:proofErr w:type="spellEnd"/>
      <w:r>
        <w:rPr>
          <w:rFonts w:ascii="Arial" w:eastAsia="Arial" w:hAnsi="Arial" w:cs="Arial"/>
        </w:rPr>
        <w:t xml:space="preserve"> dentro de cada muestra. Además, se evaluará la diversidad beta mediante análisis de distancia o disimilitud (</w:t>
      </w:r>
      <w:proofErr w:type="spellStart"/>
      <w:r>
        <w:rPr>
          <w:rFonts w:ascii="Arial" w:eastAsia="Arial" w:hAnsi="Arial" w:cs="Arial"/>
        </w:rPr>
        <w:t>UniFrac</w:t>
      </w:r>
      <w:proofErr w:type="spellEnd"/>
      <w:r>
        <w:rPr>
          <w:rFonts w:ascii="Arial" w:eastAsia="Arial" w:hAnsi="Arial" w:cs="Arial"/>
        </w:rPr>
        <w:t xml:space="preserve"> o Bray-Curtis), que permiten identificar diferencias en la composición microbiana entre los grupos. En cuanto a la abundancia relativa, se cuantificarán y compararán las </w:t>
      </w:r>
      <w:proofErr w:type="spellStart"/>
      <w:r>
        <w:rPr>
          <w:rFonts w:ascii="Arial" w:eastAsia="Arial" w:hAnsi="Arial" w:cs="Arial"/>
        </w:rPr>
        <w:t>OTUs</w:t>
      </w:r>
      <w:proofErr w:type="spellEnd"/>
      <w:r>
        <w:rPr>
          <w:rFonts w:ascii="Arial" w:eastAsia="Arial" w:hAnsi="Arial" w:cs="Arial"/>
        </w:rPr>
        <w:t xml:space="preserve"> correspondientes a especies bacterianas de interés clínico, específicamente </w:t>
      </w:r>
      <w:r>
        <w:rPr>
          <w:rFonts w:ascii="Arial" w:eastAsia="Arial" w:hAnsi="Arial" w:cs="Arial"/>
          <w:i/>
        </w:rPr>
        <w:t xml:space="preserve">S. </w:t>
      </w:r>
      <w:proofErr w:type="spellStart"/>
      <w:r>
        <w:rPr>
          <w:rFonts w:ascii="Arial" w:eastAsia="Arial" w:hAnsi="Arial" w:cs="Arial"/>
          <w:i/>
        </w:rPr>
        <w:t>aureus</w:t>
      </w:r>
      <w:proofErr w:type="spellEnd"/>
      <w:r>
        <w:rPr>
          <w:rFonts w:ascii="Arial" w:eastAsia="Arial" w:hAnsi="Arial" w:cs="Arial"/>
        </w:rPr>
        <w:t xml:space="preserve"> y </w:t>
      </w:r>
      <w:r>
        <w:rPr>
          <w:rFonts w:ascii="Arial" w:eastAsia="Arial" w:hAnsi="Arial" w:cs="Arial"/>
          <w:i/>
        </w:rPr>
        <w:t xml:space="preserve">S. </w:t>
      </w:r>
      <w:proofErr w:type="spellStart"/>
      <w:r>
        <w:rPr>
          <w:rFonts w:ascii="Arial" w:eastAsia="Arial" w:hAnsi="Arial" w:cs="Arial"/>
          <w:i/>
        </w:rPr>
        <w:t>epidermidis</w:t>
      </w:r>
      <w:proofErr w:type="spellEnd"/>
      <w:r>
        <w:rPr>
          <w:rFonts w:ascii="Arial" w:eastAsia="Arial" w:hAnsi="Arial" w:cs="Arial"/>
        </w:rPr>
        <w:t>, ya que se ha evidenciado su implicación en la fisiopatología y gravedad de la dermatitis atópica. Para ello, se emplearán pruebas estadísticas (como pruebas no paramétricas o análisis multivariantes) que permitan determinar si existen diferencias significativas en su presencia o abundancia entre los grupos analizados.</w:t>
      </w:r>
    </w:p>
    <w:p w14:paraId="251DC044" w14:textId="0165A456" w:rsidR="00AC58A5" w:rsidRDefault="00AC58A5">
      <w:pPr>
        <w:spacing w:line="276" w:lineRule="auto"/>
        <w:rPr>
          <w:rFonts w:ascii="Arial" w:eastAsia="Arial" w:hAnsi="Arial" w:cs="Arial"/>
        </w:rPr>
      </w:pPr>
    </w:p>
    <w:p w14:paraId="335E15A0" w14:textId="77777777" w:rsidR="00AC58A5" w:rsidRDefault="00AC58A5">
      <w:pPr>
        <w:spacing w:line="276" w:lineRule="auto"/>
        <w:rPr>
          <w:rFonts w:ascii="Arial" w:eastAsia="Arial" w:hAnsi="Arial" w:cs="Arial"/>
        </w:rPr>
      </w:pPr>
    </w:p>
    <w:p w14:paraId="00000036" w14:textId="77777777" w:rsidR="00AC6F8B" w:rsidRDefault="00AC6F8B">
      <w:pPr>
        <w:spacing w:line="276" w:lineRule="auto"/>
        <w:rPr>
          <w:rFonts w:ascii="Arial" w:eastAsia="Arial" w:hAnsi="Arial" w:cs="Arial"/>
        </w:rPr>
      </w:pPr>
    </w:p>
    <w:p w14:paraId="00000037" w14:textId="77777777" w:rsidR="00AC6F8B" w:rsidRDefault="00000000">
      <w:pPr>
        <w:numPr>
          <w:ilvl w:val="0"/>
          <w:numId w:val="6"/>
        </w:numPr>
        <w:spacing w:line="276" w:lineRule="auto"/>
        <w:rPr>
          <w:rFonts w:ascii="Arial" w:eastAsia="Arial" w:hAnsi="Arial" w:cs="Arial"/>
          <w:b/>
        </w:rPr>
      </w:pPr>
      <w:r>
        <w:rPr>
          <w:rFonts w:ascii="Arial" w:eastAsia="Arial" w:hAnsi="Arial" w:cs="Arial"/>
          <w:b/>
        </w:rPr>
        <w:lastRenderedPageBreak/>
        <w:t>Asociación entre los cambios microbianos y la severidad clínica de la dermatitis atópica</w:t>
      </w:r>
    </w:p>
    <w:p w14:paraId="00000038" w14:textId="77777777" w:rsidR="00AC6F8B" w:rsidRDefault="00000000">
      <w:pPr>
        <w:spacing w:line="276" w:lineRule="auto"/>
        <w:rPr>
          <w:rFonts w:ascii="Arial" w:eastAsia="Arial" w:hAnsi="Arial" w:cs="Arial"/>
        </w:rPr>
      </w:pPr>
      <w:r>
        <w:rPr>
          <w:rFonts w:ascii="Arial" w:eastAsia="Arial" w:hAnsi="Arial" w:cs="Arial"/>
        </w:rPr>
        <w:t xml:space="preserve">Para explorar la relación entre la composición del microbioma cutáneo y la severidad clínica de la dermatitis atópica, se integrarán los datos microbiológicos con las variables clínicas cuantitativas que midan la gravedad de la enfermedad. Se realizarán análisis correlacionales y modelos estadísticos multivariantes que permitan identificar asociaciones significativas entre índices de diversidad </w:t>
      </w:r>
      <w:proofErr w:type="spellStart"/>
      <w:proofErr w:type="gramStart"/>
      <w:r>
        <w:rPr>
          <w:rFonts w:ascii="Arial" w:eastAsia="Arial" w:hAnsi="Arial" w:cs="Arial"/>
        </w:rPr>
        <w:t>microbiana,la</w:t>
      </w:r>
      <w:proofErr w:type="spellEnd"/>
      <w:proofErr w:type="gramEnd"/>
      <w:r>
        <w:rPr>
          <w:rFonts w:ascii="Arial" w:eastAsia="Arial" w:hAnsi="Arial" w:cs="Arial"/>
        </w:rPr>
        <w:t xml:space="preserve"> abundancia relativa de </w:t>
      </w:r>
      <w:proofErr w:type="spellStart"/>
      <w:r>
        <w:rPr>
          <w:rFonts w:ascii="Arial" w:eastAsia="Arial" w:hAnsi="Arial" w:cs="Arial"/>
        </w:rPr>
        <w:t>OTUs</w:t>
      </w:r>
      <w:proofErr w:type="spellEnd"/>
      <w:r>
        <w:rPr>
          <w:rFonts w:ascii="Arial" w:eastAsia="Arial" w:hAnsi="Arial" w:cs="Arial"/>
        </w:rPr>
        <w:t xml:space="preserve"> específicas y la severidad clínica.</w:t>
      </w:r>
      <w:r>
        <w:rPr>
          <w:rFonts w:ascii="Arial" w:eastAsia="Arial" w:hAnsi="Arial" w:cs="Arial"/>
        </w:rPr>
        <w:br/>
        <w:t>Este análisis ayudará a determinar si ciertas alteraciones en la microbiota están vinculadas con estados más graves de la enfermedad, lo cual podría aportar nuevos biomarcadores microbiológicos y guiar estrategias terapéuticas personalizadas.</w:t>
      </w:r>
    </w:p>
    <w:p w14:paraId="00000039" w14:textId="77777777" w:rsidR="00AC6F8B" w:rsidRDefault="00AC6F8B">
      <w:pPr>
        <w:spacing w:line="276" w:lineRule="auto"/>
        <w:rPr>
          <w:rFonts w:ascii="Arial" w:eastAsia="Arial" w:hAnsi="Arial" w:cs="Arial"/>
        </w:rPr>
      </w:pPr>
    </w:p>
    <w:p w14:paraId="0000003A" w14:textId="77777777" w:rsidR="00AC6F8B" w:rsidRDefault="00000000">
      <w:pPr>
        <w:spacing w:line="276" w:lineRule="auto"/>
        <w:rPr>
          <w:rFonts w:ascii="Arial" w:eastAsia="Arial" w:hAnsi="Arial" w:cs="Arial"/>
          <w:color w:val="0098CD"/>
        </w:rPr>
      </w:pPr>
      <w:r>
        <w:rPr>
          <w:rFonts w:ascii="Arial" w:eastAsia="Arial" w:hAnsi="Arial" w:cs="Arial"/>
          <w:b/>
          <w:color w:val="0098CD"/>
        </w:rPr>
        <w:t>Resultados</w:t>
      </w:r>
    </w:p>
    <w:p w14:paraId="0000003B" w14:textId="5F5ADC43" w:rsidR="00AC6F8B" w:rsidRDefault="00000000">
      <w:pPr>
        <w:spacing w:line="276" w:lineRule="auto"/>
        <w:rPr>
          <w:rFonts w:ascii="Arial" w:eastAsia="Arial" w:hAnsi="Arial" w:cs="Arial"/>
          <w:color w:val="000000"/>
        </w:rPr>
      </w:pPr>
      <w:r>
        <w:rPr>
          <w:rFonts w:ascii="Arial" w:eastAsia="Arial" w:hAnsi="Arial" w:cs="Arial"/>
          <w:color w:val="000000"/>
        </w:rPr>
        <w:t xml:space="preserve">Aunque de momento no podemos saber con exactitud cuáles serán los resultados de aplicar la metodología propuesta, podemos esperar demostrar los siguientes resultados, asumiendo que hemos podido obtener muestras de pacientes o, en su falta, haber podido obtener información en bases de datos públicas. Otros detalles sobre la metodología escapan una predicción realista sin estar trabajando en ella, por </w:t>
      </w:r>
      <w:r w:rsidR="00AC58A5">
        <w:rPr>
          <w:rFonts w:ascii="Arial" w:eastAsia="Arial" w:hAnsi="Arial" w:cs="Arial"/>
          <w:color w:val="000000"/>
        </w:rPr>
        <w:t>tanto,</w:t>
      </w:r>
      <w:r>
        <w:rPr>
          <w:rFonts w:ascii="Arial" w:eastAsia="Arial" w:hAnsi="Arial" w:cs="Arial"/>
          <w:color w:val="000000"/>
        </w:rPr>
        <w:t xml:space="preserve"> nos limitaremos a predecir los siguientes puntos:</w:t>
      </w:r>
    </w:p>
    <w:p w14:paraId="0000003C" w14:textId="77777777" w:rsidR="00AC6F8B" w:rsidRDefault="00AC6F8B">
      <w:pPr>
        <w:spacing w:line="276" w:lineRule="auto"/>
        <w:rPr>
          <w:rFonts w:ascii="Arial" w:eastAsia="Arial" w:hAnsi="Arial" w:cs="Arial"/>
          <w:color w:val="000000"/>
        </w:rPr>
      </w:pPr>
    </w:p>
    <w:p w14:paraId="0000003D" w14:textId="77777777" w:rsidR="00AC6F8B" w:rsidRDefault="00000000">
      <w:pPr>
        <w:spacing w:line="276" w:lineRule="auto"/>
        <w:rPr>
          <w:rFonts w:ascii="Arial" w:eastAsia="Arial" w:hAnsi="Arial" w:cs="Arial"/>
          <w:color w:val="000000"/>
        </w:rPr>
      </w:pPr>
      <w:r>
        <w:rPr>
          <w:rFonts w:ascii="Arial" w:eastAsia="Arial" w:hAnsi="Arial" w:cs="Arial"/>
          <w:b/>
          <w:color w:val="000000"/>
          <w:u w:val="single"/>
        </w:rPr>
        <w:t>Análisis de las secuencias de 16S Ribosoma</w:t>
      </w:r>
      <w:r>
        <w:rPr>
          <w:rFonts w:ascii="Arial" w:eastAsia="Arial" w:hAnsi="Arial" w:cs="Arial"/>
          <w:color w:val="000000"/>
          <w:u w:val="single"/>
        </w:rPr>
        <w:t>l</w:t>
      </w:r>
      <w:r>
        <w:rPr>
          <w:rFonts w:ascii="Arial" w:eastAsia="Arial" w:hAnsi="Arial" w:cs="Arial"/>
          <w:color w:val="000000"/>
        </w:rPr>
        <w:t xml:space="preserve"> </w:t>
      </w:r>
    </w:p>
    <w:p w14:paraId="0000003E" w14:textId="77777777" w:rsidR="00AC6F8B" w:rsidRDefault="00000000">
      <w:pPr>
        <w:spacing w:line="276" w:lineRule="auto"/>
        <w:rPr>
          <w:rFonts w:ascii="Arial" w:eastAsia="Arial" w:hAnsi="Arial" w:cs="Arial"/>
          <w:color w:val="000000"/>
        </w:rPr>
      </w:pPr>
      <w:r>
        <w:rPr>
          <w:rFonts w:ascii="Arial" w:eastAsia="Arial" w:hAnsi="Arial" w:cs="Arial"/>
          <w:color w:val="000000"/>
        </w:rPr>
        <w:t>Con la realización del protocolo estándar en QIIMI2, esperamos haber obtenido los siguientes resultados:</w:t>
      </w:r>
    </w:p>
    <w:p w14:paraId="0000003F" w14:textId="1D383429" w:rsidR="00AC6F8B" w:rsidRDefault="00000000">
      <w:pPr>
        <w:numPr>
          <w:ilvl w:val="0"/>
          <w:numId w:val="5"/>
        </w:numPr>
        <w:spacing w:line="276" w:lineRule="auto"/>
        <w:rPr>
          <w:rFonts w:ascii="Arial" w:eastAsia="Arial" w:hAnsi="Arial" w:cs="Arial"/>
          <w:color w:val="000000"/>
        </w:rPr>
      </w:pPr>
      <w:r>
        <w:rPr>
          <w:rFonts w:ascii="Arial" w:eastAsia="Arial" w:hAnsi="Arial" w:cs="Arial"/>
          <w:color w:val="000000"/>
        </w:rPr>
        <w:t>Diversidad Alfa:  Se espera obtener una diversidad alfa menor en pacientes con DA en comparación con pacientes sanos. El por</w:t>
      </w:r>
      <w:r w:rsidR="00F56501">
        <w:rPr>
          <w:rFonts w:ascii="Arial" w:eastAsia="Arial" w:hAnsi="Arial" w:cs="Arial"/>
          <w:color w:val="000000"/>
        </w:rPr>
        <w:t xml:space="preserve"> </w:t>
      </w:r>
      <w:r>
        <w:rPr>
          <w:rFonts w:ascii="Arial" w:eastAsia="Arial" w:hAnsi="Arial" w:cs="Arial"/>
          <w:color w:val="000000"/>
        </w:rPr>
        <w:t xml:space="preserve">qué sería debido a diferencias significativas entre los valores de </w:t>
      </w:r>
      <w:proofErr w:type="spellStart"/>
      <w:r>
        <w:rPr>
          <w:rFonts w:ascii="Arial" w:eastAsia="Arial" w:hAnsi="Arial" w:cs="Arial"/>
          <w:color w:val="000000"/>
        </w:rPr>
        <w:t>OTUs</w:t>
      </w:r>
      <w:proofErr w:type="spellEnd"/>
      <w:r>
        <w:rPr>
          <w:rFonts w:ascii="Arial" w:eastAsia="Arial" w:hAnsi="Arial" w:cs="Arial"/>
          <w:color w:val="000000"/>
        </w:rPr>
        <w:t xml:space="preserve"> y de índices de diversidad entre ambos grupos, reflejando una menor diversidad (disbiosis) en pacientes con DA en comparación con aquellos controles sanos, posiblemente viéndose diferencia entre los posibles subgrupos de pacientes.</w:t>
      </w:r>
    </w:p>
    <w:p w14:paraId="00000040" w14:textId="77777777" w:rsidR="00AC6F8B" w:rsidRDefault="00000000">
      <w:pPr>
        <w:numPr>
          <w:ilvl w:val="0"/>
          <w:numId w:val="5"/>
        </w:numPr>
        <w:spacing w:line="276" w:lineRule="auto"/>
        <w:rPr>
          <w:rFonts w:ascii="Arial" w:eastAsia="Arial" w:hAnsi="Arial" w:cs="Arial"/>
          <w:color w:val="000000"/>
        </w:rPr>
      </w:pPr>
      <w:r>
        <w:rPr>
          <w:rFonts w:ascii="Arial" w:eastAsia="Arial" w:hAnsi="Arial" w:cs="Arial"/>
          <w:color w:val="000000"/>
        </w:rPr>
        <w:t xml:space="preserve">Diversidad Beta: En coherencia con el posible resultado de la diversidad alfa, veríamos una clara separación entre los posibles grupos de DA y sanos, con una mayor variabilidad intergrupal que </w:t>
      </w:r>
      <w:proofErr w:type="spellStart"/>
      <w:r>
        <w:rPr>
          <w:rFonts w:ascii="Arial" w:eastAsia="Arial" w:hAnsi="Arial" w:cs="Arial"/>
          <w:color w:val="000000"/>
        </w:rPr>
        <w:t>intragrupal</w:t>
      </w:r>
      <w:proofErr w:type="spellEnd"/>
      <w:r>
        <w:rPr>
          <w:rFonts w:ascii="Arial" w:eastAsia="Arial" w:hAnsi="Arial" w:cs="Arial"/>
          <w:color w:val="000000"/>
        </w:rPr>
        <w:t xml:space="preserve">. Observándose así las diferencias de la </w:t>
      </w:r>
      <w:proofErr w:type="gramStart"/>
      <w:r>
        <w:rPr>
          <w:rFonts w:ascii="Arial" w:eastAsia="Arial" w:hAnsi="Arial" w:cs="Arial"/>
          <w:color w:val="000000"/>
        </w:rPr>
        <w:t>microbiota bacteriana</w:t>
      </w:r>
      <w:proofErr w:type="gramEnd"/>
      <w:r>
        <w:rPr>
          <w:rFonts w:ascii="Arial" w:eastAsia="Arial" w:hAnsi="Arial" w:cs="Arial"/>
          <w:color w:val="000000"/>
        </w:rPr>
        <w:t xml:space="preserve"> entre la patología de DA y un estado saludable.</w:t>
      </w:r>
    </w:p>
    <w:p w14:paraId="00000041" w14:textId="77777777" w:rsidR="00AC6F8B" w:rsidRDefault="00000000">
      <w:pPr>
        <w:numPr>
          <w:ilvl w:val="0"/>
          <w:numId w:val="5"/>
        </w:numPr>
        <w:spacing w:line="276" w:lineRule="auto"/>
        <w:rPr>
          <w:rFonts w:ascii="Arial" w:eastAsia="Arial" w:hAnsi="Arial" w:cs="Arial"/>
          <w:color w:val="000000"/>
        </w:rPr>
      </w:pPr>
      <w:r>
        <w:rPr>
          <w:rFonts w:ascii="Arial" w:eastAsia="Arial" w:hAnsi="Arial" w:cs="Arial"/>
          <w:i/>
          <w:color w:val="000000"/>
        </w:rPr>
        <w:t xml:space="preserve">S. </w:t>
      </w:r>
      <w:proofErr w:type="spellStart"/>
      <w:r>
        <w:rPr>
          <w:rFonts w:ascii="Arial" w:eastAsia="Arial" w:hAnsi="Arial" w:cs="Arial"/>
          <w:i/>
          <w:color w:val="000000"/>
        </w:rPr>
        <w:t>aureus</w:t>
      </w:r>
      <w:proofErr w:type="spellEnd"/>
      <w:r>
        <w:rPr>
          <w:rFonts w:ascii="Arial" w:eastAsia="Arial" w:hAnsi="Arial" w:cs="Arial"/>
          <w:i/>
          <w:color w:val="000000"/>
        </w:rPr>
        <w:t xml:space="preserve"> y S. </w:t>
      </w:r>
      <w:proofErr w:type="spellStart"/>
      <w:r>
        <w:rPr>
          <w:rFonts w:ascii="Arial" w:eastAsia="Arial" w:hAnsi="Arial" w:cs="Arial"/>
          <w:i/>
          <w:color w:val="000000"/>
        </w:rPr>
        <w:t>epidermidis</w:t>
      </w:r>
      <w:proofErr w:type="spellEnd"/>
      <w:r>
        <w:rPr>
          <w:rFonts w:ascii="Arial" w:eastAsia="Arial" w:hAnsi="Arial" w:cs="Arial"/>
          <w:color w:val="000000"/>
        </w:rPr>
        <w:t xml:space="preserve">. La abundancia relativa de ambas especies será distinta entre enfermos de DA y aquellos que no lo tengan. En enfermos de DA se observa una mayor abundancia de </w:t>
      </w:r>
      <w:r>
        <w:rPr>
          <w:rFonts w:ascii="Arial" w:eastAsia="Arial" w:hAnsi="Arial" w:cs="Arial"/>
          <w:i/>
          <w:color w:val="000000"/>
        </w:rPr>
        <w:t xml:space="preserve">S. </w:t>
      </w:r>
      <w:proofErr w:type="spellStart"/>
      <w:r>
        <w:rPr>
          <w:rFonts w:ascii="Arial" w:eastAsia="Arial" w:hAnsi="Arial" w:cs="Arial"/>
          <w:i/>
          <w:color w:val="000000"/>
        </w:rPr>
        <w:t>aureus</w:t>
      </w:r>
      <w:proofErr w:type="spellEnd"/>
      <w:r>
        <w:rPr>
          <w:rFonts w:ascii="Arial" w:eastAsia="Arial" w:hAnsi="Arial" w:cs="Arial"/>
          <w:color w:val="000000"/>
        </w:rPr>
        <w:t xml:space="preserve"> (</w:t>
      </w:r>
      <w:proofErr w:type="spellStart"/>
      <w:r>
        <w:rPr>
          <w:rFonts w:ascii="Arial" w:eastAsia="Arial" w:hAnsi="Arial" w:cs="Arial"/>
          <w:color w:val="000000"/>
        </w:rPr>
        <w:t>nº</w:t>
      </w:r>
      <w:proofErr w:type="spellEnd"/>
      <w:r>
        <w:rPr>
          <w:rFonts w:ascii="Arial" w:eastAsia="Arial" w:hAnsi="Arial" w:cs="Arial"/>
          <w:color w:val="000000"/>
        </w:rPr>
        <w:t xml:space="preserve"> de </w:t>
      </w:r>
      <w:proofErr w:type="spellStart"/>
      <w:r>
        <w:rPr>
          <w:rFonts w:ascii="Arial" w:eastAsia="Arial" w:hAnsi="Arial" w:cs="Arial"/>
          <w:color w:val="000000"/>
        </w:rPr>
        <w:t>OTUs</w:t>
      </w:r>
      <w:proofErr w:type="spellEnd"/>
      <w:r>
        <w:rPr>
          <w:rFonts w:ascii="Arial" w:eastAsia="Arial" w:hAnsi="Arial" w:cs="Arial"/>
          <w:color w:val="000000"/>
        </w:rPr>
        <w:t xml:space="preserve"> alto) y en sanos un número bajo. Con </w:t>
      </w:r>
      <w:r>
        <w:rPr>
          <w:rFonts w:ascii="Arial" w:eastAsia="Arial" w:hAnsi="Arial" w:cs="Arial"/>
          <w:i/>
          <w:color w:val="000000"/>
        </w:rPr>
        <w:t xml:space="preserve">S. </w:t>
      </w:r>
      <w:proofErr w:type="spellStart"/>
      <w:r>
        <w:rPr>
          <w:rFonts w:ascii="Arial" w:eastAsia="Arial" w:hAnsi="Arial" w:cs="Arial"/>
          <w:i/>
          <w:color w:val="000000"/>
        </w:rPr>
        <w:t>epidermidis</w:t>
      </w:r>
      <w:proofErr w:type="spellEnd"/>
      <w:r>
        <w:rPr>
          <w:rFonts w:ascii="Arial" w:eastAsia="Arial" w:hAnsi="Arial" w:cs="Arial"/>
          <w:color w:val="000000"/>
        </w:rPr>
        <w:t xml:space="preserve"> también sería posible encontrar diferencia como no encontrarlas entre pacientes y sanos, al encontrarse en ambos y con roles diferentes.</w:t>
      </w:r>
    </w:p>
    <w:p w14:paraId="00000042" w14:textId="77777777" w:rsidR="00AC6F8B" w:rsidRDefault="00AC6F8B">
      <w:pPr>
        <w:spacing w:line="276" w:lineRule="auto"/>
        <w:rPr>
          <w:rFonts w:ascii="Arial" w:eastAsia="Arial" w:hAnsi="Arial" w:cs="Arial"/>
          <w:color w:val="000000"/>
        </w:rPr>
      </w:pPr>
    </w:p>
    <w:p w14:paraId="00000043" w14:textId="77777777" w:rsidR="00AC6F8B" w:rsidRDefault="00000000">
      <w:pPr>
        <w:spacing w:line="276" w:lineRule="auto"/>
        <w:rPr>
          <w:rFonts w:ascii="Arial" w:eastAsia="Arial" w:hAnsi="Arial" w:cs="Arial"/>
          <w:color w:val="000000"/>
        </w:rPr>
      </w:pPr>
      <w:r>
        <w:rPr>
          <w:rFonts w:ascii="Arial" w:eastAsia="Arial" w:hAnsi="Arial" w:cs="Arial"/>
          <w:b/>
          <w:color w:val="000000"/>
          <w:u w:val="single"/>
        </w:rPr>
        <w:t>Asociación entre los cambios microbianos y la severidad clínica</w:t>
      </w:r>
    </w:p>
    <w:p w14:paraId="00000044" w14:textId="77777777" w:rsidR="00AC6F8B" w:rsidRDefault="00000000">
      <w:pPr>
        <w:numPr>
          <w:ilvl w:val="0"/>
          <w:numId w:val="4"/>
        </w:numPr>
        <w:spacing w:line="276" w:lineRule="auto"/>
        <w:rPr>
          <w:rFonts w:ascii="Arial" w:eastAsia="Arial" w:hAnsi="Arial" w:cs="Arial"/>
          <w:color w:val="000000"/>
        </w:rPr>
      </w:pPr>
      <w:r>
        <w:rPr>
          <w:rFonts w:ascii="Arial" w:eastAsia="Arial" w:hAnsi="Arial" w:cs="Arial"/>
          <w:color w:val="000000"/>
        </w:rPr>
        <w:t xml:space="preserve">Se espera observar una clara correlación positiva entre la gravedad de la sintomatología con la presencia de </w:t>
      </w:r>
      <w:r>
        <w:rPr>
          <w:rFonts w:ascii="Arial" w:eastAsia="Arial" w:hAnsi="Arial" w:cs="Arial"/>
          <w:i/>
          <w:color w:val="000000"/>
        </w:rPr>
        <w:t xml:space="preserve">S. </w:t>
      </w:r>
      <w:proofErr w:type="spellStart"/>
      <w:r>
        <w:rPr>
          <w:rFonts w:ascii="Arial" w:eastAsia="Arial" w:hAnsi="Arial" w:cs="Arial"/>
          <w:i/>
          <w:color w:val="000000"/>
        </w:rPr>
        <w:t>aureus</w:t>
      </w:r>
      <w:proofErr w:type="spellEnd"/>
      <w:r>
        <w:rPr>
          <w:rFonts w:ascii="Arial" w:eastAsia="Arial" w:hAnsi="Arial" w:cs="Arial"/>
          <w:color w:val="000000"/>
        </w:rPr>
        <w:t xml:space="preserve">, y observándose lo con </w:t>
      </w:r>
      <w:r>
        <w:rPr>
          <w:rFonts w:ascii="Arial" w:eastAsia="Arial" w:hAnsi="Arial" w:cs="Arial"/>
          <w:i/>
          <w:color w:val="000000"/>
        </w:rPr>
        <w:t xml:space="preserve">S. </w:t>
      </w:r>
      <w:proofErr w:type="spellStart"/>
      <w:proofErr w:type="gramStart"/>
      <w:r>
        <w:rPr>
          <w:rFonts w:ascii="Arial" w:eastAsia="Arial" w:hAnsi="Arial" w:cs="Arial"/>
          <w:i/>
          <w:color w:val="000000"/>
        </w:rPr>
        <w:t>epidermidis</w:t>
      </w:r>
      <w:proofErr w:type="spellEnd"/>
      <w:proofErr w:type="gramEnd"/>
      <w:r>
        <w:rPr>
          <w:rFonts w:ascii="Arial" w:eastAsia="Arial" w:hAnsi="Arial" w:cs="Arial"/>
          <w:color w:val="000000"/>
        </w:rPr>
        <w:t xml:space="preserve"> pero a un menor nivel. </w:t>
      </w:r>
    </w:p>
    <w:p w14:paraId="00000045" w14:textId="77777777" w:rsidR="00AC6F8B" w:rsidRDefault="00000000">
      <w:pPr>
        <w:pStyle w:val="Ttulo"/>
        <w:spacing w:line="276" w:lineRule="auto"/>
        <w:rPr>
          <w:rFonts w:ascii="Arial" w:eastAsia="Arial" w:hAnsi="Arial" w:cs="Arial"/>
          <w:color w:val="0098CD"/>
          <w:sz w:val="24"/>
          <w:szCs w:val="24"/>
        </w:rPr>
      </w:pPr>
      <w:bookmarkStart w:id="7" w:name="_heading=h.p8c3o8e93n0g" w:colFirst="0" w:colLast="0"/>
      <w:bookmarkEnd w:id="7"/>
      <w:r>
        <w:rPr>
          <w:rFonts w:ascii="Arial" w:eastAsia="Arial" w:hAnsi="Arial" w:cs="Arial"/>
          <w:color w:val="0098CD"/>
          <w:sz w:val="24"/>
          <w:szCs w:val="24"/>
        </w:rPr>
        <w:t>Conclusiones</w:t>
      </w:r>
    </w:p>
    <w:p w14:paraId="00000046" w14:textId="77777777" w:rsidR="00AC6F8B" w:rsidRDefault="00000000">
      <w:pPr>
        <w:spacing w:line="276" w:lineRule="auto"/>
        <w:rPr>
          <w:rFonts w:ascii="Arial" w:eastAsia="Arial" w:hAnsi="Arial" w:cs="Arial"/>
        </w:rPr>
      </w:pPr>
      <w:r>
        <w:rPr>
          <w:rFonts w:ascii="Arial" w:eastAsia="Arial" w:hAnsi="Arial" w:cs="Arial"/>
        </w:rPr>
        <w:t xml:space="preserve">En este trabajo se ha descrito el cómo </w:t>
      </w:r>
      <w:proofErr w:type="spellStart"/>
      <w:r>
        <w:rPr>
          <w:rFonts w:ascii="Arial" w:eastAsia="Arial" w:hAnsi="Arial" w:cs="Arial"/>
        </w:rPr>
        <w:t>utilizariamos</w:t>
      </w:r>
      <w:proofErr w:type="spellEnd"/>
      <w:r>
        <w:rPr>
          <w:rFonts w:ascii="Arial" w:eastAsia="Arial" w:hAnsi="Arial" w:cs="Arial"/>
        </w:rPr>
        <w:t xml:space="preserve"> diferentes herramientas </w:t>
      </w:r>
      <w:proofErr w:type="spellStart"/>
      <w:r>
        <w:rPr>
          <w:rFonts w:ascii="Arial" w:eastAsia="Arial" w:hAnsi="Arial" w:cs="Arial"/>
        </w:rPr>
        <w:t>ómicas</w:t>
      </w:r>
      <w:proofErr w:type="spellEnd"/>
      <w:r>
        <w:rPr>
          <w:rFonts w:ascii="Arial" w:eastAsia="Arial" w:hAnsi="Arial" w:cs="Arial"/>
        </w:rPr>
        <w:t xml:space="preserve"> y repositorios de datos bioinformáticos para abordar el estudio de la enfermedad de la dermatitis atópica mediante el estudio del microbioma cutáneo en pacientes que tienen la patología, en comparación con el de individuos sanos, denominados grupo control. Mediante la amplificación del gen 16S de RNA ribosomal y el posterior análisis bioinformático usando plataformas como QIIME2 se busca identificar diferencias en la composición </w:t>
      </w:r>
      <w:proofErr w:type="gramStart"/>
      <w:r>
        <w:rPr>
          <w:rFonts w:ascii="Arial" w:eastAsia="Arial" w:hAnsi="Arial" w:cs="Arial"/>
        </w:rPr>
        <w:t>de la microbiota</w:t>
      </w:r>
      <w:proofErr w:type="gramEnd"/>
      <w:r>
        <w:rPr>
          <w:rFonts w:ascii="Arial" w:eastAsia="Arial" w:hAnsi="Arial" w:cs="Arial"/>
        </w:rPr>
        <w:t xml:space="preserve"> de la piel de personas enfermas respecto a las del grupo control. </w:t>
      </w:r>
    </w:p>
    <w:p w14:paraId="00000047" w14:textId="77777777" w:rsidR="00AC6F8B" w:rsidRDefault="00000000">
      <w:pPr>
        <w:spacing w:line="276" w:lineRule="auto"/>
        <w:rPr>
          <w:rFonts w:ascii="Arial" w:eastAsia="Arial" w:hAnsi="Arial" w:cs="Arial"/>
        </w:rPr>
      </w:pPr>
      <w:r>
        <w:rPr>
          <w:rFonts w:ascii="Arial" w:eastAsia="Arial" w:hAnsi="Arial" w:cs="Arial"/>
        </w:rPr>
        <w:t xml:space="preserve">Los resultados que esperaríamos obtener serían aquellos que confirmen la hipótesis que hemos planteado anteriormente, donde se dice que en pacientes con DA se observa una disminución en la diversidad bacteriana, así como una proliferación de especies como </w:t>
      </w:r>
      <w:r>
        <w:rPr>
          <w:rFonts w:ascii="Arial" w:eastAsia="Arial" w:hAnsi="Arial" w:cs="Arial"/>
          <w:i/>
        </w:rPr>
        <w:t xml:space="preserve">S. </w:t>
      </w:r>
      <w:proofErr w:type="spellStart"/>
      <w:r>
        <w:rPr>
          <w:rFonts w:ascii="Arial" w:eastAsia="Arial" w:hAnsi="Arial" w:cs="Arial"/>
          <w:i/>
        </w:rPr>
        <w:t>aureus</w:t>
      </w:r>
      <w:proofErr w:type="spellEnd"/>
      <w:r>
        <w:rPr>
          <w:rFonts w:ascii="Arial" w:eastAsia="Arial" w:hAnsi="Arial" w:cs="Arial"/>
        </w:rPr>
        <w:t xml:space="preserve"> y de </w:t>
      </w:r>
      <w:r>
        <w:rPr>
          <w:rFonts w:ascii="Arial" w:eastAsia="Arial" w:hAnsi="Arial" w:cs="Arial"/>
          <w:i/>
        </w:rPr>
        <w:t xml:space="preserve">S. </w:t>
      </w:r>
      <w:proofErr w:type="spellStart"/>
      <w:r>
        <w:rPr>
          <w:rFonts w:ascii="Arial" w:eastAsia="Arial" w:hAnsi="Arial" w:cs="Arial"/>
          <w:i/>
        </w:rPr>
        <w:t>epidermidis</w:t>
      </w:r>
      <w:proofErr w:type="spellEnd"/>
      <w:r>
        <w:rPr>
          <w:rFonts w:ascii="Arial" w:eastAsia="Arial" w:hAnsi="Arial" w:cs="Arial"/>
        </w:rPr>
        <w:t xml:space="preserve">. Además, es posible que estas alteraciones puedan servir tanto como marcador de diagnóstico como de pronóstico. </w:t>
      </w:r>
    </w:p>
    <w:p w14:paraId="00000048" w14:textId="77777777" w:rsidR="00AC6F8B" w:rsidRDefault="00000000">
      <w:pPr>
        <w:spacing w:line="276" w:lineRule="auto"/>
        <w:rPr>
          <w:rFonts w:ascii="Arial" w:eastAsia="Arial" w:hAnsi="Arial" w:cs="Arial"/>
        </w:rPr>
      </w:pPr>
      <w:r>
        <w:rPr>
          <w:rFonts w:ascii="Arial" w:eastAsia="Arial" w:hAnsi="Arial" w:cs="Arial"/>
        </w:rPr>
        <w:t xml:space="preserve">Para finalizar, gracias a este trabajo se ha intentado demostrar la utilidad de las tecnologías de secuenciación y de los análisis usando herramientas </w:t>
      </w:r>
      <w:proofErr w:type="spellStart"/>
      <w:r>
        <w:rPr>
          <w:rFonts w:ascii="Arial" w:eastAsia="Arial" w:hAnsi="Arial" w:cs="Arial"/>
        </w:rPr>
        <w:t>ómicas</w:t>
      </w:r>
      <w:proofErr w:type="spellEnd"/>
      <w:r>
        <w:rPr>
          <w:rFonts w:ascii="Arial" w:eastAsia="Arial" w:hAnsi="Arial" w:cs="Arial"/>
        </w:rPr>
        <w:t xml:space="preserve"> para el estudio de diferentes patologías, centrándonos en nuestro caso en la dermatitis atópica, así como el uso de repositorios públicos de datos, siendo claves para casos en los cuales el acceso a personas o muestras clínicas no es posible. </w:t>
      </w:r>
    </w:p>
    <w:p w14:paraId="00000049" w14:textId="77777777" w:rsidR="00AC6F8B" w:rsidRDefault="00AC6F8B">
      <w:pPr>
        <w:spacing w:line="276" w:lineRule="auto"/>
        <w:rPr>
          <w:rFonts w:ascii="Arial" w:eastAsia="Arial" w:hAnsi="Arial" w:cs="Arial"/>
        </w:rPr>
      </w:pPr>
    </w:p>
    <w:p w14:paraId="0000004A" w14:textId="77777777" w:rsidR="00AC6F8B" w:rsidRDefault="00AC6F8B">
      <w:pPr>
        <w:spacing w:line="276" w:lineRule="auto"/>
        <w:rPr>
          <w:rFonts w:ascii="Arial" w:eastAsia="Arial" w:hAnsi="Arial" w:cs="Arial"/>
        </w:rPr>
      </w:pPr>
    </w:p>
    <w:p w14:paraId="0000004B" w14:textId="77777777" w:rsidR="00AC6F8B" w:rsidRDefault="00AC6F8B">
      <w:pPr>
        <w:spacing w:line="276" w:lineRule="auto"/>
        <w:rPr>
          <w:rFonts w:ascii="Arial" w:eastAsia="Arial" w:hAnsi="Arial" w:cs="Arial"/>
        </w:rPr>
      </w:pPr>
    </w:p>
    <w:p w14:paraId="0000004C" w14:textId="77777777" w:rsidR="00AC6F8B" w:rsidRDefault="00AC6F8B">
      <w:pPr>
        <w:spacing w:line="276" w:lineRule="auto"/>
        <w:rPr>
          <w:rFonts w:ascii="Arial" w:eastAsia="Arial" w:hAnsi="Arial" w:cs="Arial"/>
        </w:rPr>
      </w:pPr>
    </w:p>
    <w:p w14:paraId="0000004D" w14:textId="77777777" w:rsidR="00AC6F8B" w:rsidRDefault="00AC6F8B">
      <w:pPr>
        <w:spacing w:line="276" w:lineRule="auto"/>
        <w:rPr>
          <w:rFonts w:ascii="Arial" w:eastAsia="Arial" w:hAnsi="Arial" w:cs="Arial"/>
        </w:rPr>
      </w:pPr>
    </w:p>
    <w:p w14:paraId="0000004E" w14:textId="77777777" w:rsidR="00AC6F8B" w:rsidRDefault="00AC6F8B">
      <w:pPr>
        <w:spacing w:line="276" w:lineRule="auto"/>
        <w:rPr>
          <w:rFonts w:ascii="Arial" w:eastAsia="Arial" w:hAnsi="Arial" w:cs="Arial"/>
        </w:rPr>
      </w:pPr>
    </w:p>
    <w:p w14:paraId="0000004F" w14:textId="77777777" w:rsidR="00AC6F8B" w:rsidRDefault="00AC6F8B">
      <w:pPr>
        <w:spacing w:line="276" w:lineRule="auto"/>
        <w:rPr>
          <w:rFonts w:ascii="Arial" w:eastAsia="Arial" w:hAnsi="Arial" w:cs="Arial"/>
        </w:rPr>
      </w:pPr>
    </w:p>
    <w:p w14:paraId="00000050" w14:textId="77777777" w:rsidR="00AC6F8B" w:rsidRDefault="00AC6F8B">
      <w:pPr>
        <w:spacing w:line="276" w:lineRule="auto"/>
        <w:rPr>
          <w:rFonts w:ascii="Arial" w:eastAsia="Arial" w:hAnsi="Arial" w:cs="Arial"/>
        </w:rPr>
      </w:pPr>
    </w:p>
    <w:p w14:paraId="00000051" w14:textId="77777777" w:rsidR="00AC6F8B" w:rsidRDefault="00AC6F8B">
      <w:pPr>
        <w:spacing w:line="276" w:lineRule="auto"/>
        <w:rPr>
          <w:rFonts w:ascii="Arial" w:eastAsia="Arial" w:hAnsi="Arial" w:cs="Arial"/>
        </w:rPr>
      </w:pPr>
    </w:p>
    <w:p w14:paraId="00000052" w14:textId="77777777" w:rsidR="00AC6F8B" w:rsidRDefault="00AC6F8B">
      <w:pPr>
        <w:spacing w:line="276" w:lineRule="auto"/>
        <w:rPr>
          <w:rFonts w:ascii="Arial" w:eastAsia="Arial" w:hAnsi="Arial" w:cs="Arial"/>
        </w:rPr>
      </w:pPr>
    </w:p>
    <w:p w14:paraId="00000053" w14:textId="77777777" w:rsidR="00AC6F8B" w:rsidRDefault="00AC6F8B">
      <w:pPr>
        <w:spacing w:line="276" w:lineRule="auto"/>
        <w:rPr>
          <w:rFonts w:ascii="Arial" w:eastAsia="Arial" w:hAnsi="Arial" w:cs="Arial"/>
        </w:rPr>
      </w:pPr>
    </w:p>
    <w:p w14:paraId="00000054" w14:textId="77777777" w:rsidR="00AC6F8B" w:rsidRDefault="00AC6F8B">
      <w:pPr>
        <w:spacing w:line="276" w:lineRule="auto"/>
        <w:rPr>
          <w:rFonts w:ascii="Arial" w:eastAsia="Arial" w:hAnsi="Arial" w:cs="Arial"/>
        </w:rPr>
      </w:pPr>
    </w:p>
    <w:p w14:paraId="00000055" w14:textId="77777777" w:rsidR="00AC6F8B" w:rsidRDefault="00AC6F8B">
      <w:pPr>
        <w:spacing w:line="276" w:lineRule="auto"/>
        <w:rPr>
          <w:rFonts w:ascii="Arial" w:eastAsia="Arial" w:hAnsi="Arial" w:cs="Arial"/>
        </w:rPr>
      </w:pPr>
    </w:p>
    <w:p w14:paraId="00000056" w14:textId="77777777" w:rsidR="00AC6F8B" w:rsidRDefault="00AC6F8B">
      <w:pPr>
        <w:spacing w:line="276" w:lineRule="auto"/>
        <w:rPr>
          <w:rFonts w:ascii="Arial" w:eastAsia="Arial" w:hAnsi="Arial" w:cs="Arial"/>
        </w:rPr>
      </w:pPr>
    </w:p>
    <w:p w14:paraId="00000057" w14:textId="77777777" w:rsidR="00AC6F8B" w:rsidRDefault="00AC6F8B">
      <w:pPr>
        <w:spacing w:line="276" w:lineRule="auto"/>
        <w:rPr>
          <w:rFonts w:ascii="Arial" w:eastAsia="Arial" w:hAnsi="Arial" w:cs="Arial"/>
        </w:rPr>
      </w:pPr>
    </w:p>
    <w:p w14:paraId="00000058" w14:textId="77777777" w:rsidR="00AC6F8B" w:rsidRDefault="00000000">
      <w:pPr>
        <w:spacing w:line="276" w:lineRule="auto"/>
        <w:rPr>
          <w:rFonts w:ascii="Arial" w:eastAsia="Arial" w:hAnsi="Arial" w:cs="Arial"/>
          <w:color w:val="0098CD"/>
        </w:rPr>
      </w:pPr>
      <w:r>
        <w:rPr>
          <w:rFonts w:ascii="Arial" w:eastAsia="Arial" w:hAnsi="Arial" w:cs="Arial"/>
          <w:b/>
          <w:color w:val="0098CD"/>
        </w:rPr>
        <w:lastRenderedPageBreak/>
        <w:t>Bibliografía</w:t>
      </w:r>
    </w:p>
    <w:p w14:paraId="00000059" w14:textId="77777777" w:rsidR="00AC6F8B" w:rsidRDefault="00AC6F8B">
      <w:pPr>
        <w:spacing w:line="276" w:lineRule="auto"/>
        <w:rPr>
          <w:rFonts w:ascii="Arial" w:eastAsia="Arial" w:hAnsi="Arial" w:cs="Arial"/>
          <w:color w:val="0098CD"/>
        </w:rPr>
      </w:pPr>
    </w:p>
    <w:p w14:paraId="0000005A" w14:textId="77777777" w:rsidR="00AC6F8B" w:rsidRDefault="00000000">
      <w:pPr>
        <w:numPr>
          <w:ilvl w:val="0"/>
          <w:numId w:val="3"/>
        </w:numPr>
        <w:spacing w:line="276" w:lineRule="auto"/>
      </w:pPr>
      <w:r w:rsidRPr="00C53C5F">
        <w:rPr>
          <w:rFonts w:ascii="Arial" w:eastAsia="Arial" w:hAnsi="Arial" w:cs="Arial"/>
          <w:b/>
          <w:lang w:val="en-US"/>
        </w:rPr>
        <w:t>Kim K, Jang H, Kim E, Kim H, Sung GY</w:t>
      </w:r>
      <w:r w:rsidRPr="00C53C5F">
        <w:rPr>
          <w:rFonts w:ascii="Arial" w:eastAsia="Arial" w:hAnsi="Arial" w:cs="Arial"/>
          <w:lang w:val="en-US"/>
        </w:rPr>
        <w:t xml:space="preserve">. Recent advances in understanding the role of the skin microbiome in the treatment of atopic dermatitis. </w:t>
      </w:r>
      <w:proofErr w:type="spellStart"/>
      <w:r>
        <w:rPr>
          <w:rFonts w:ascii="Arial" w:eastAsia="Arial" w:hAnsi="Arial" w:cs="Arial"/>
        </w:rPr>
        <w:t>Exp</w:t>
      </w:r>
      <w:proofErr w:type="spellEnd"/>
      <w:r>
        <w:rPr>
          <w:rFonts w:ascii="Arial" w:eastAsia="Arial" w:hAnsi="Arial" w:cs="Arial"/>
        </w:rPr>
        <w:t xml:space="preserve"> </w:t>
      </w:r>
      <w:proofErr w:type="spellStart"/>
      <w:r>
        <w:rPr>
          <w:rFonts w:ascii="Arial" w:eastAsia="Arial" w:hAnsi="Arial" w:cs="Arial"/>
        </w:rPr>
        <w:t>Dermatol</w:t>
      </w:r>
      <w:proofErr w:type="spellEnd"/>
      <w:r>
        <w:rPr>
          <w:rFonts w:ascii="Arial" w:eastAsia="Arial" w:hAnsi="Arial" w:cs="Arial"/>
        </w:rPr>
        <w:t xml:space="preserve">. 2023 Dec;32(12):2048–2061. doi:10.1111/exd.14940. </w:t>
      </w:r>
    </w:p>
    <w:p w14:paraId="0000005B" w14:textId="77777777" w:rsidR="00AC6F8B" w:rsidRDefault="00000000">
      <w:pPr>
        <w:numPr>
          <w:ilvl w:val="0"/>
          <w:numId w:val="3"/>
        </w:numPr>
        <w:spacing w:line="276" w:lineRule="auto"/>
      </w:pPr>
      <w:r w:rsidRPr="00C53C5F">
        <w:rPr>
          <w:rFonts w:ascii="Arial" w:eastAsia="Arial" w:hAnsi="Arial" w:cs="Arial"/>
          <w:b/>
          <w:lang w:val="en-US"/>
        </w:rPr>
        <w:t>Chen Y, Knight R, Gallo RL.</w:t>
      </w:r>
      <w:r w:rsidRPr="00C53C5F">
        <w:rPr>
          <w:rFonts w:ascii="Arial" w:eastAsia="Arial" w:hAnsi="Arial" w:cs="Arial"/>
          <w:lang w:val="en-US"/>
        </w:rPr>
        <w:t xml:space="preserve"> Evolving approaches to profiling the microbiome in skin disease. </w:t>
      </w:r>
      <w:r>
        <w:rPr>
          <w:rFonts w:ascii="Arial" w:eastAsia="Arial" w:hAnsi="Arial" w:cs="Arial"/>
          <w:i/>
        </w:rPr>
        <w:t xml:space="preserve">Front </w:t>
      </w:r>
      <w:proofErr w:type="spellStart"/>
      <w:r>
        <w:rPr>
          <w:rFonts w:ascii="Arial" w:eastAsia="Arial" w:hAnsi="Arial" w:cs="Arial"/>
          <w:i/>
        </w:rPr>
        <w:t>Immunol</w:t>
      </w:r>
      <w:proofErr w:type="spellEnd"/>
      <w:r>
        <w:rPr>
          <w:rFonts w:ascii="Arial" w:eastAsia="Arial" w:hAnsi="Arial" w:cs="Arial"/>
        </w:rPr>
        <w:t xml:space="preserve">. </w:t>
      </w:r>
      <w:proofErr w:type="gramStart"/>
      <w:r>
        <w:rPr>
          <w:rFonts w:ascii="Arial" w:eastAsia="Arial" w:hAnsi="Arial" w:cs="Arial"/>
        </w:rPr>
        <w:t>2023;14:1151527</w:t>
      </w:r>
      <w:proofErr w:type="gramEnd"/>
      <w:r>
        <w:rPr>
          <w:rFonts w:ascii="Arial" w:eastAsia="Arial" w:hAnsi="Arial" w:cs="Arial"/>
        </w:rPr>
        <w:t>. doi:10.3389/fimmu.2023.1151527.</w:t>
      </w:r>
    </w:p>
    <w:p w14:paraId="0000005C" w14:textId="77777777" w:rsidR="00AC6F8B" w:rsidRDefault="00000000">
      <w:pPr>
        <w:numPr>
          <w:ilvl w:val="0"/>
          <w:numId w:val="3"/>
        </w:numPr>
        <w:spacing w:line="276" w:lineRule="auto"/>
      </w:pPr>
      <w:proofErr w:type="spellStart"/>
      <w:r w:rsidRPr="00C53C5F">
        <w:rPr>
          <w:rFonts w:ascii="Arial" w:eastAsia="Arial" w:hAnsi="Arial" w:cs="Arial"/>
          <w:b/>
          <w:lang w:val="en-US"/>
        </w:rPr>
        <w:t>Paller</w:t>
      </w:r>
      <w:proofErr w:type="spellEnd"/>
      <w:r w:rsidRPr="00C53C5F">
        <w:rPr>
          <w:rFonts w:ascii="Arial" w:eastAsia="Arial" w:hAnsi="Arial" w:cs="Arial"/>
          <w:b/>
          <w:lang w:val="en-US"/>
        </w:rPr>
        <w:t xml:space="preserve"> AS, Kong HH, Seed P, Naik S, </w:t>
      </w:r>
      <w:proofErr w:type="spellStart"/>
      <w:r w:rsidRPr="00C53C5F">
        <w:rPr>
          <w:rFonts w:ascii="Arial" w:eastAsia="Arial" w:hAnsi="Arial" w:cs="Arial"/>
          <w:b/>
          <w:lang w:val="en-US"/>
        </w:rPr>
        <w:t>Scharschmidt</w:t>
      </w:r>
      <w:proofErr w:type="spellEnd"/>
      <w:r w:rsidRPr="00C53C5F">
        <w:rPr>
          <w:rFonts w:ascii="Arial" w:eastAsia="Arial" w:hAnsi="Arial" w:cs="Arial"/>
          <w:b/>
          <w:lang w:val="en-US"/>
        </w:rPr>
        <w:t xml:space="preserve"> TC, Gallo RL, Luger T, Irvine AD.</w:t>
      </w:r>
      <w:r w:rsidRPr="00C53C5F">
        <w:rPr>
          <w:rFonts w:ascii="Arial" w:eastAsia="Arial" w:hAnsi="Arial" w:cs="Arial"/>
          <w:lang w:val="en-US"/>
        </w:rPr>
        <w:t xml:space="preserve"> The microbiome in patients with atopic dermatitis. </w:t>
      </w:r>
      <w:r w:rsidRPr="00C53C5F">
        <w:rPr>
          <w:rFonts w:ascii="Arial" w:eastAsia="Arial" w:hAnsi="Arial" w:cs="Arial"/>
          <w:i/>
          <w:lang w:val="en-US"/>
        </w:rPr>
        <w:t>J Allergy Clin Immunol</w:t>
      </w:r>
      <w:r w:rsidRPr="00C53C5F">
        <w:rPr>
          <w:rFonts w:ascii="Arial" w:eastAsia="Arial" w:hAnsi="Arial" w:cs="Arial"/>
          <w:lang w:val="en-US"/>
        </w:rPr>
        <w:t xml:space="preserve">. </w:t>
      </w:r>
      <w:r>
        <w:rPr>
          <w:rFonts w:ascii="Arial" w:eastAsia="Arial" w:hAnsi="Arial" w:cs="Arial"/>
        </w:rPr>
        <w:t xml:space="preserve">2019;143(1):26–35. </w:t>
      </w:r>
      <w:proofErr w:type="gramStart"/>
      <w:r>
        <w:rPr>
          <w:rFonts w:ascii="Arial" w:eastAsia="Arial" w:hAnsi="Arial" w:cs="Arial"/>
        </w:rPr>
        <w:t>doi:10.1016/j.jaci</w:t>
      </w:r>
      <w:proofErr w:type="gramEnd"/>
      <w:r>
        <w:rPr>
          <w:rFonts w:ascii="Arial" w:eastAsia="Arial" w:hAnsi="Arial" w:cs="Arial"/>
        </w:rPr>
        <w:t>.2018.11.015.</w:t>
      </w:r>
    </w:p>
    <w:p w14:paraId="0000005D" w14:textId="77777777" w:rsidR="00AC6F8B" w:rsidRPr="00C53C5F" w:rsidRDefault="00000000">
      <w:pPr>
        <w:numPr>
          <w:ilvl w:val="0"/>
          <w:numId w:val="3"/>
        </w:numPr>
        <w:spacing w:line="276" w:lineRule="auto"/>
        <w:rPr>
          <w:lang w:val="en-US"/>
        </w:rPr>
      </w:pPr>
      <w:r w:rsidRPr="00C53C5F">
        <w:rPr>
          <w:rFonts w:ascii="Arial" w:eastAsia="Arial" w:hAnsi="Arial" w:cs="Arial"/>
          <w:b/>
          <w:lang w:val="en-US"/>
        </w:rPr>
        <w:t>Kim JE, Kim HS.</w:t>
      </w:r>
      <w:r w:rsidRPr="00C53C5F">
        <w:rPr>
          <w:rFonts w:ascii="Arial" w:eastAsia="Arial" w:hAnsi="Arial" w:cs="Arial"/>
          <w:lang w:val="en-US"/>
        </w:rPr>
        <w:t xml:space="preserve"> Microbiome of the Skin and Gut in Atopic Dermatitis (AD): Understanding the Pathophysiology and Finding Novel Management Strategies. </w:t>
      </w:r>
      <w:r w:rsidRPr="00C53C5F">
        <w:rPr>
          <w:rFonts w:ascii="Arial" w:eastAsia="Arial" w:hAnsi="Arial" w:cs="Arial"/>
          <w:i/>
          <w:lang w:val="en-US"/>
        </w:rPr>
        <w:t>J Clin Med</w:t>
      </w:r>
      <w:r w:rsidRPr="00C53C5F">
        <w:rPr>
          <w:rFonts w:ascii="Arial" w:eastAsia="Arial" w:hAnsi="Arial" w:cs="Arial"/>
          <w:lang w:val="en-US"/>
        </w:rPr>
        <w:t>. 2019;8(4):444. doi:10.3390/jcm8040444.</w:t>
      </w:r>
    </w:p>
    <w:p w14:paraId="0000005E" w14:textId="77777777" w:rsidR="00AC6F8B" w:rsidRDefault="00000000">
      <w:pPr>
        <w:numPr>
          <w:ilvl w:val="0"/>
          <w:numId w:val="3"/>
        </w:numPr>
        <w:spacing w:line="276" w:lineRule="auto"/>
      </w:pPr>
      <w:r w:rsidRPr="00C53C5F">
        <w:rPr>
          <w:rFonts w:ascii="Arial" w:eastAsia="Arial" w:hAnsi="Arial" w:cs="Arial"/>
          <w:b/>
          <w:lang w:val="en-US"/>
        </w:rPr>
        <w:t>Koh LF, Ong RY, Common JE.</w:t>
      </w:r>
      <w:r w:rsidRPr="00C53C5F">
        <w:rPr>
          <w:rFonts w:ascii="Arial" w:eastAsia="Arial" w:hAnsi="Arial" w:cs="Arial"/>
          <w:lang w:val="en-US"/>
        </w:rPr>
        <w:t xml:space="preserve"> Skin microbiome of atopic dermatitis. </w:t>
      </w:r>
      <w:proofErr w:type="spellStart"/>
      <w:r>
        <w:rPr>
          <w:rFonts w:ascii="Arial" w:eastAsia="Arial" w:hAnsi="Arial" w:cs="Arial"/>
          <w:i/>
        </w:rPr>
        <w:t>Allergol</w:t>
      </w:r>
      <w:proofErr w:type="spellEnd"/>
      <w:r>
        <w:rPr>
          <w:rFonts w:ascii="Arial" w:eastAsia="Arial" w:hAnsi="Arial" w:cs="Arial"/>
          <w:i/>
        </w:rPr>
        <w:t xml:space="preserve"> </w:t>
      </w:r>
      <w:proofErr w:type="spellStart"/>
      <w:r>
        <w:rPr>
          <w:rFonts w:ascii="Arial" w:eastAsia="Arial" w:hAnsi="Arial" w:cs="Arial"/>
          <w:i/>
        </w:rPr>
        <w:t>Int</w:t>
      </w:r>
      <w:proofErr w:type="spellEnd"/>
      <w:r>
        <w:rPr>
          <w:rFonts w:ascii="Arial" w:eastAsia="Arial" w:hAnsi="Arial" w:cs="Arial"/>
        </w:rPr>
        <w:t xml:space="preserve">. 2022;71(1):31–9. </w:t>
      </w:r>
      <w:proofErr w:type="gramStart"/>
      <w:r>
        <w:rPr>
          <w:rFonts w:ascii="Arial" w:eastAsia="Arial" w:hAnsi="Arial" w:cs="Arial"/>
        </w:rPr>
        <w:t>doi:10.1016/j.alit</w:t>
      </w:r>
      <w:proofErr w:type="gramEnd"/>
      <w:r>
        <w:rPr>
          <w:rFonts w:ascii="Arial" w:eastAsia="Arial" w:hAnsi="Arial" w:cs="Arial"/>
        </w:rPr>
        <w:t>.2021.11.001.</w:t>
      </w:r>
    </w:p>
    <w:p w14:paraId="0000005F" w14:textId="77777777" w:rsidR="00AC6F8B" w:rsidRDefault="00000000">
      <w:pPr>
        <w:numPr>
          <w:ilvl w:val="0"/>
          <w:numId w:val="3"/>
        </w:numPr>
        <w:spacing w:line="276" w:lineRule="auto"/>
        <w:rPr>
          <w:rFonts w:ascii="Arial" w:eastAsia="Arial" w:hAnsi="Arial" w:cs="Arial"/>
        </w:rPr>
      </w:pPr>
      <w:proofErr w:type="spellStart"/>
      <w:r>
        <w:rPr>
          <w:rFonts w:ascii="Arial" w:eastAsia="Arial" w:hAnsi="Arial" w:cs="Arial"/>
          <w:b/>
          <w:color w:val="212121"/>
          <w:highlight w:val="white"/>
        </w:rPr>
        <w:t>Landemaine</w:t>
      </w:r>
      <w:proofErr w:type="spellEnd"/>
      <w:r>
        <w:rPr>
          <w:rFonts w:ascii="Arial" w:eastAsia="Arial" w:hAnsi="Arial" w:cs="Arial"/>
          <w:b/>
          <w:color w:val="212121"/>
          <w:highlight w:val="white"/>
        </w:rPr>
        <w:t xml:space="preserve">, L., Da Costa, G., </w:t>
      </w:r>
      <w:proofErr w:type="spellStart"/>
      <w:r>
        <w:rPr>
          <w:rFonts w:ascii="Arial" w:eastAsia="Arial" w:hAnsi="Arial" w:cs="Arial"/>
          <w:b/>
          <w:color w:val="212121"/>
          <w:highlight w:val="white"/>
        </w:rPr>
        <w:t>Fissier</w:t>
      </w:r>
      <w:proofErr w:type="spellEnd"/>
      <w:r>
        <w:rPr>
          <w:rFonts w:ascii="Arial" w:eastAsia="Arial" w:hAnsi="Arial" w:cs="Arial"/>
          <w:b/>
          <w:color w:val="212121"/>
          <w:highlight w:val="white"/>
        </w:rPr>
        <w:t xml:space="preserve">, E., Francis, C., </w:t>
      </w:r>
      <w:proofErr w:type="spellStart"/>
      <w:r>
        <w:rPr>
          <w:rFonts w:ascii="Arial" w:eastAsia="Arial" w:hAnsi="Arial" w:cs="Arial"/>
          <w:b/>
          <w:color w:val="212121"/>
          <w:highlight w:val="white"/>
        </w:rPr>
        <w:t>Morand</w:t>
      </w:r>
      <w:proofErr w:type="spellEnd"/>
      <w:r>
        <w:rPr>
          <w:rFonts w:ascii="Arial" w:eastAsia="Arial" w:hAnsi="Arial" w:cs="Arial"/>
          <w:b/>
          <w:color w:val="212121"/>
          <w:highlight w:val="white"/>
        </w:rPr>
        <w:t xml:space="preserve">, S., Verbeke, J., Michel, M. L., </w:t>
      </w:r>
      <w:proofErr w:type="spellStart"/>
      <w:r>
        <w:rPr>
          <w:rFonts w:ascii="Arial" w:eastAsia="Arial" w:hAnsi="Arial" w:cs="Arial"/>
          <w:b/>
          <w:color w:val="212121"/>
          <w:highlight w:val="white"/>
        </w:rPr>
        <w:t>Briandet</w:t>
      </w:r>
      <w:proofErr w:type="spellEnd"/>
      <w:r>
        <w:rPr>
          <w:rFonts w:ascii="Arial" w:eastAsia="Arial" w:hAnsi="Arial" w:cs="Arial"/>
          <w:b/>
          <w:color w:val="212121"/>
          <w:highlight w:val="white"/>
        </w:rPr>
        <w:t xml:space="preserve">, R., </w:t>
      </w:r>
      <w:proofErr w:type="spellStart"/>
      <w:r>
        <w:rPr>
          <w:rFonts w:ascii="Arial" w:eastAsia="Arial" w:hAnsi="Arial" w:cs="Arial"/>
          <w:b/>
          <w:color w:val="212121"/>
          <w:highlight w:val="white"/>
        </w:rPr>
        <w:t>Sokol</w:t>
      </w:r>
      <w:proofErr w:type="spellEnd"/>
      <w:r>
        <w:rPr>
          <w:rFonts w:ascii="Arial" w:eastAsia="Arial" w:hAnsi="Arial" w:cs="Arial"/>
          <w:b/>
          <w:color w:val="212121"/>
          <w:highlight w:val="white"/>
        </w:rPr>
        <w:t xml:space="preserve">, H., </w:t>
      </w:r>
      <w:proofErr w:type="spellStart"/>
      <w:r>
        <w:rPr>
          <w:rFonts w:ascii="Arial" w:eastAsia="Arial" w:hAnsi="Arial" w:cs="Arial"/>
          <w:b/>
          <w:color w:val="212121"/>
          <w:highlight w:val="white"/>
        </w:rPr>
        <w:t>Gueniche</w:t>
      </w:r>
      <w:proofErr w:type="spellEnd"/>
      <w:r>
        <w:rPr>
          <w:rFonts w:ascii="Arial" w:eastAsia="Arial" w:hAnsi="Arial" w:cs="Arial"/>
          <w:b/>
          <w:color w:val="212121"/>
          <w:highlight w:val="white"/>
        </w:rPr>
        <w:t xml:space="preserve">, A., Bernard, D., Chatel, J. M., Aguilar, L., </w:t>
      </w:r>
      <w:proofErr w:type="spellStart"/>
      <w:r>
        <w:rPr>
          <w:rFonts w:ascii="Arial" w:eastAsia="Arial" w:hAnsi="Arial" w:cs="Arial"/>
          <w:b/>
          <w:color w:val="212121"/>
          <w:highlight w:val="white"/>
        </w:rPr>
        <w:t>Langella</w:t>
      </w:r>
      <w:proofErr w:type="spellEnd"/>
      <w:r>
        <w:rPr>
          <w:rFonts w:ascii="Arial" w:eastAsia="Arial" w:hAnsi="Arial" w:cs="Arial"/>
          <w:b/>
          <w:color w:val="212121"/>
          <w:highlight w:val="white"/>
        </w:rPr>
        <w:t xml:space="preserve">, P., </w:t>
      </w:r>
      <w:proofErr w:type="spellStart"/>
      <w:r>
        <w:rPr>
          <w:rFonts w:ascii="Arial" w:eastAsia="Arial" w:hAnsi="Arial" w:cs="Arial"/>
          <w:b/>
          <w:color w:val="212121"/>
          <w:highlight w:val="white"/>
        </w:rPr>
        <w:t>Clavaud</w:t>
      </w:r>
      <w:proofErr w:type="spellEnd"/>
      <w:r>
        <w:rPr>
          <w:rFonts w:ascii="Arial" w:eastAsia="Arial" w:hAnsi="Arial" w:cs="Arial"/>
          <w:b/>
          <w:color w:val="212121"/>
          <w:highlight w:val="white"/>
        </w:rPr>
        <w:t>, C., &amp; Richard, M. L</w:t>
      </w:r>
      <w:r>
        <w:rPr>
          <w:rFonts w:ascii="Arial" w:eastAsia="Arial" w:hAnsi="Arial" w:cs="Arial"/>
          <w:color w:val="212121"/>
          <w:highlight w:val="white"/>
        </w:rPr>
        <w:t xml:space="preserve">. (2023). </w:t>
      </w:r>
      <w:r w:rsidRPr="00C53C5F">
        <w:rPr>
          <w:rFonts w:ascii="Arial" w:eastAsia="Arial" w:hAnsi="Arial" w:cs="Arial"/>
          <w:i/>
          <w:color w:val="212121"/>
          <w:highlight w:val="white"/>
          <w:lang w:val="en-US"/>
        </w:rPr>
        <w:t>Staphylococcus epidermidis</w:t>
      </w:r>
      <w:r w:rsidRPr="00C53C5F">
        <w:rPr>
          <w:rFonts w:ascii="Arial" w:eastAsia="Arial" w:hAnsi="Arial" w:cs="Arial"/>
          <w:color w:val="212121"/>
          <w:highlight w:val="white"/>
          <w:lang w:val="en-US"/>
        </w:rPr>
        <w:t xml:space="preserve"> isolates from atopic or healthy skin have opposite effect on skin cells: potential implication of the AHR pathway modulation. </w:t>
      </w:r>
      <w:proofErr w:type="spellStart"/>
      <w:r>
        <w:rPr>
          <w:rFonts w:ascii="Arial" w:eastAsia="Arial" w:hAnsi="Arial" w:cs="Arial"/>
          <w:i/>
          <w:color w:val="212121"/>
          <w:highlight w:val="white"/>
        </w:rPr>
        <w:t>Frontiers</w:t>
      </w:r>
      <w:proofErr w:type="spellEnd"/>
      <w:r>
        <w:rPr>
          <w:rFonts w:ascii="Arial" w:eastAsia="Arial" w:hAnsi="Arial" w:cs="Arial"/>
          <w:i/>
          <w:color w:val="212121"/>
          <w:highlight w:val="white"/>
        </w:rPr>
        <w:t xml:space="preserve"> in </w:t>
      </w:r>
      <w:proofErr w:type="spellStart"/>
      <w:r>
        <w:rPr>
          <w:rFonts w:ascii="Arial" w:eastAsia="Arial" w:hAnsi="Arial" w:cs="Arial"/>
          <w:i/>
          <w:color w:val="212121"/>
          <w:highlight w:val="white"/>
        </w:rPr>
        <w:t>immunology</w:t>
      </w:r>
      <w:proofErr w:type="spellEnd"/>
      <w:r>
        <w:rPr>
          <w:rFonts w:ascii="Arial" w:eastAsia="Arial" w:hAnsi="Arial" w:cs="Arial"/>
          <w:color w:val="212121"/>
          <w:highlight w:val="white"/>
        </w:rPr>
        <w:t xml:space="preserve">, </w:t>
      </w:r>
      <w:r>
        <w:rPr>
          <w:rFonts w:ascii="Arial" w:eastAsia="Arial" w:hAnsi="Arial" w:cs="Arial"/>
          <w:i/>
          <w:color w:val="212121"/>
          <w:highlight w:val="white"/>
        </w:rPr>
        <w:t>14</w:t>
      </w:r>
      <w:r>
        <w:rPr>
          <w:rFonts w:ascii="Arial" w:eastAsia="Arial" w:hAnsi="Arial" w:cs="Arial"/>
          <w:color w:val="212121"/>
          <w:highlight w:val="white"/>
        </w:rPr>
        <w:t xml:space="preserve">, 1098160. </w:t>
      </w:r>
      <w:hyperlink r:id="rId8">
        <w:r>
          <w:rPr>
            <w:rFonts w:ascii="Arial" w:eastAsia="Arial" w:hAnsi="Arial" w:cs="Arial"/>
            <w:color w:val="1155CC"/>
            <w:highlight w:val="white"/>
            <w:u w:val="single"/>
          </w:rPr>
          <w:t>https://doi.org/10.3389/fimmu.2023.1098160</w:t>
        </w:r>
      </w:hyperlink>
    </w:p>
    <w:p w14:paraId="00000060" w14:textId="77777777" w:rsidR="00AC6F8B" w:rsidRDefault="00000000">
      <w:pPr>
        <w:numPr>
          <w:ilvl w:val="0"/>
          <w:numId w:val="3"/>
        </w:numPr>
        <w:spacing w:line="276" w:lineRule="auto"/>
        <w:rPr>
          <w:rFonts w:ascii="Arial" w:eastAsia="Arial" w:hAnsi="Arial" w:cs="Arial"/>
          <w:color w:val="212121"/>
          <w:highlight w:val="white"/>
        </w:rPr>
      </w:pPr>
      <w:r w:rsidRPr="00C53C5F">
        <w:rPr>
          <w:rFonts w:ascii="Arial" w:eastAsia="Arial" w:hAnsi="Arial" w:cs="Arial"/>
          <w:b/>
          <w:lang w:val="en-US"/>
        </w:rPr>
        <w:t>Jo JH, Kennedy EA, Kong HH.</w:t>
      </w:r>
      <w:r w:rsidRPr="00C53C5F">
        <w:rPr>
          <w:rFonts w:ascii="Arial" w:eastAsia="Arial" w:hAnsi="Arial" w:cs="Arial"/>
          <w:lang w:val="en-US"/>
        </w:rPr>
        <w:t xml:space="preserve"> Research techniques made simple: Bacterial 16S ribosomal RNA gene sequencing in cutaneous research. </w:t>
      </w:r>
      <w:r>
        <w:rPr>
          <w:rFonts w:ascii="Arial" w:eastAsia="Arial" w:hAnsi="Arial" w:cs="Arial"/>
          <w:i/>
        </w:rPr>
        <w:t xml:space="preserve">J </w:t>
      </w:r>
      <w:proofErr w:type="spellStart"/>
      <w:r>
        <w:rPr>
          <w:rFonts w:ascii="Arial" w:eastAsia="Arial" w:hAnsi="Arial" w:cs="Arial"/>
          <w:i/>
        </w:rPr>
        <w:t>Invest</w:t>
      </w:r>
      <w:proofErr w:type="spellEnd"/>
      <w:r>
        <w:rPr>
          <w:rFonts w:ascii="Arial" w:eastAsia="Arial" w:hAnsi="Arial" w:cs="Arial"/>
          <w:i/>
        </w:rPr>
        <w:t xml:space="preserve"> </w:t>
      </w:r>
      <w:proofErr w:type="spellStart"/>
      <w:r>
        <w:rPr>
          <w:rFonts w:ascii="Arial" w:eastAsia="Arial" w:hAnsi="Arial" w:cs="Arial"/>
          <w:i/>
        </w:rPr>
        <w:t>Dermatol</w:t>
      </w:r>
      <w:proofErr w:type="spellEnd"/>
      <w:r>
        <w:rPr>
          <w:rFonts w:ascii="Arial" w:eastAsia="Arial" w:hAnsi="Arial" w:cs="Arial"/>
        </w:rPr>
        <w:t>. 2016 Mar;136(3</w:t>
      </w:r>
      <w:proofErr w:type="gramStart"/>
      <w:r>
        <w:rPr>
          <w:rFonts w:ascii="Arial" w:eastAsia="Arial" w:hAnsi="Arial" w:cs="Arial"/>
        </w:rPr>
        <w:t>):e</w:t>
      </w:r>
      <w:proofErr w:type="gramEnd"/>
      <w:r>
        <w:rPr>
          <w:rFonts w:ascii="Arial" w:eastAsia="Arial" w:hAnsi="Arial" w:cs="Arial"/>
        </w:rPr>
        <w:t xml:space="preserve">23–e27. </w:t>
      </w:r>
      <w:proofErr w:type="gramStart"/>
      <w:r>
        <w:rPr>
          <w:rFonts w:ascii="Arial" w:eastAsia="Arial" w:hAnsi="Arial" w:cs="Arial"/>
        </w:rPr>
        <w:t>doi:10.1016/j.jid</w:t>
      </w:r>
      <w:proofErr w:type="gramEnd"/>
      <w:r>
        <w:rPr>
          <w:rFonts w:ascii="Arial" w:eastAsia="Arial" w:hAnsi="Arial" w:cs="Arial"/>
        </w:rPr>
        <w:t>.2016.01.005.</w:t>
      </w:r>
    </w:p>
    <w:p w14:paraId="00000061" w14:textId="77777777" w:rsidR="00AC6F8B" w:rsidRDefault="00AC6F8B">
      <w:pPr>
        <w:spacing w:line="276" w:lineRule="auto"/>
        <w:rPr>
          <w:rFonts w:ascii="Arial" w:eastAsia="Arial" w:hAnsi="Arial" w:cs="Arial"/>
        </w:rPr>
      </w:pPr>
    </w:p>
    <w:p w14:paraId="00000062" w14:textId="77777777" w:rsidR="00AC6F8B" w:rsidRDefault="00AC6F8B">
      <w:pPr>
        <w:spacing w:line="276" w:lineRule="auto"/>
        <w:rPr>
          <w:rFonts w:ascii="Arial" w:eastAsia="Arial" w:hAnsi="Arial" w:cs="Arial"/>
        </w:rPr>
      </w:pPr>
    </w:p>
    <w:p w14:paraId="00000063" w14:textId="77777777" w:rsidR="00AC6F8B" w:rsidRDefault="00AC6F8B">
      <w:pPr>
        <w:spacing w:line="276" w:lineRule="auto"/>
        <w:rPr>
          <w:rFonts w:ascii="Arial" w:eastAsia="Arial" w:hAnsi="Arial" w:cs="Arial"/>
        </w:rPr>
      </w:pPr>
    </w:p>
    <w:p w14:paraId="00000064" w14:textId="77777777" w:rsidR="00AC6F8B" w:rsidRDefault="00AC6F8B">
      <w:pPr>
        <w:spacing w:line="276" w:lineRule="auto"/>
        <w:rPr>
          <w:rFonts w:ascii="Arial" w:eastAsia="Arial" w:hAnsi="Arial" w:cs="Arial"/>
        </w:rPr>
      </w:pPr>
    </w:p>
    <w:p w14:paraId="00000065" w14:textId="77777777" w:rsidR="00AC6F8B" w:rsidRDefault="00AC6F8B">
      <w:pPr>
        <w:spacing w:line="276" w:lineRule="auto"/>
        <w:rPr>
          <w:rFonts w:ascii="Arial" w:eastAsia="Arial" w:hAnsi="Arial" w:cs="Arial"/>
        </w:rPr>
      </w:pPr>
    </w:p>
    <w:p w14:paraId="00000066" w14:textId="77777777" w:rsidR="00AC6F8B" w:rsidRDefault="00AC6F8B">
      <w:pPr>
        <w:spacing w:line="276" w:lineRule="auto"/>
        <w:rPr>
          <w:rFonts w:ascii="Arial" w:eastAsia="Arial" w:hAnsi="Arial" w:cs="Arial"/>
        </w:rPr>
      </w:pPr>
    </w:p>
    <w:p w14:paraId="00000067" w14:textId="77777777" w:rsidR="00AC6F8B" w:rsidRDefault="00AC6F8B">
      <w:pPr>
        <w:spacing w:line="276" w:lineRule="auto"/>
        <w:rPr>
          <w:rFonts w:ascii="Arial" w:eastAsia="Arial" w:hAnsi="Arial" w:cs="Arial"/>
        </w:rPr>
      </w:pPr>
    </w:p>
    <w:sectPr w:rsidR="00AC6F8B">
      <w:headerReference w:type="default" r:id="rId9"/>
      <w:footerReference w:type="default" r:id="rId10"/>
      <w:headerReference w:type="first" r:id="rId11"/>
      <w:footerReference w:type="first" r:id="rId12"/>
      <w:pgSz w:w="11906" w:h="16838"/>
      <w:pgMar w:top="1418" w:right="1843" w:bottom="1418" w:left="1843" w:header="1134"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78E88" w14:textId="77777777" w:rsidR="00F42E31" w:rsidRDefault="00F42E31">
      <w:pPr>
        <w:spacing w:line="240" w:lineRule="auto"/>
      </w:pPr>
      <w:r>
        <w:separator/>
      </w:r>
    </w:p>
  </w:endnote>
  <w:endnote w:type="continuationSeparator" w:id="0">
    <w:p w14:paraId="33BBADF4" w14:textId="77777777" w:rsidR="00F42E31" w:rsidRDefault="00F42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mbria"/>
    <w:panose1 w:val="020B0604020202020204"/>
    <w:charset w:val="00"/>
    <w:family w:val="roman"/>
    <w:notTrueType/>
    <w:pitch w:val="default"/>
  </w:font>
  <w:font w:name="UnitOT-Medi">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B" w14:textId="77777777" w:rsidR="00AC6F8B" w:rsidRDefault="00AC6F8B">
    <w:pPr>
      <w:rPr>
        <w:color w:val="000000"/>
      </w:rPr>
    </w:pPr>
  </w:p>
  <w:p w14:paraId="0000006C" w14:textId="529D30D1" w:rsidR="00AC6F8B" w:rsidRDefault="00000000">
    <w:pPr>
      <w:jc w:val="right"/>
    </w:pPr>
    <w:r>
      <w:fldChar w:fldCharType="begin"/>
    </w:r>
    <w:r>
      <w:instrText>PAGE</w:instrText>
    </w:r>
    <w:r>
      <w:fldChar w:fldCharType="separate"/>
    </w:r>
    <w:r w:rsidR="00C53C5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A" w14:textId="77777777" w:rsidR="00AC6F8B" w:rsidRDefault="00AC6F8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928F4" w14:textId="77777777" w:rsidR="00F42E31" w:rsidRDefault="00F42E31">
      <w:pPr>
        <w:spacing w:line="240" w:lineRule="auto"/>
      </w:pPr>
      <w:r>
        <w:separator/>
      </w:r>
    </w:p>
  </w:footnote>
  <w:footnote w:type="continuationSeparator" w:id="0">
    <w:p w14:paraId="7F1C8285" w14:textId="77777777" w:rsidR="00F42E31" w:rsidRDefault="00F42E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8" w14:textId="77777777" w:rsidR="00AC6F8B" w:rsidRDefault="00AC6F8B">
    <w:pPr>
      <w:pBdr>
        <w:top w:val="nil"/>
        <w:left w:val="nil"/>
        <w:bottom w:val="nil"/>
        <w:right w:val="nil"/>
        <w:between w:val="nil"/>
      </w:pBdr>
      <w:tabs>
        <w:tab w:val="center" w:pos="4252"/>
        <w:tab w:val="right" w:pos="8504"/>
      </w:tabs>
      <w:spacing w:line="240" w:lineRule="auto"/>
      <w:rPr>
        <w:rFonts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9" w14:textId="77777777" w:rsidR="00AC6F8B" w:rsidRDefault="00AC6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455A"/>
    <w:multiLevelType w:val="multilevel"/>
    <w:tmpl w:val="BBE60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054DA9"/>
    <w:multiLevelType w:val="multilevel"/>
    <w:tmpl w:val="41363EA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204DCA"/>
    <w:multiLevelType w:val="multilevel"/>
    <w:tmpl w:val="00680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C40826"/>
    <w:multiLevelType w:val="multilevel"/>
    <w:tmpl w:val="A2C25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E620C5"/>
    <w:multiLevelType w:val="multilevel"/>
    <w:tmpl w:val="C938D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A430E28"/>
    <w:multiLevelType w:val="multilevel"/>
    <w:tmpl w:val="768E8C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117587E"/>
    <w:multiLevelType w:val="multilevel"/>
    <w:tmpl w:val="3E14D7B6"/>
    <w:lvl w:ilvl="0">
      <w:start w:val="1"/>
      <w:numFmt w:val="decimal"/>
      <w:pStyle w:val="Vietaprimernivel"/>
      <w:lvlText w:val="%1."/>
      <w:lvlJc w:val="left"/>
      <w:pPr>
        <w:tabs>
          <w:tab w:val="num" w:pos="720"/>
        </w:tabs>
        <w:ind w:left="720" w:hanging="720"/>
      </w:pPr>
    </w:lvl>
    <w:lvl w:ilvl="1">
      <w:start w:val="1"/>
      <w:numFmt w:val="decimal"/>
      <w:pStyle w:val="Vietasegundonive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7996771">
    <w:abstractNumId w:val="5"/>
  </w:num>
  <w:num w:numId="2" w16cid:durableId="170068336">
    <w:abstractNumId w:val="3"/>
  </w:num>
  <w:num w:numId="3" w16cid:durableId="1531605198">
    <w:abstractNumId w:val="4"/>
  </w:num>
  <w:num w:numId="4" w16cid:durableId="620650087">
    <w:abstractNumId w:val="0"/>
  </w:num>
  <w:num w:numId="5" w16cid:durableId="1795055359">
    <w:abstractNumId w:val="2"/>
  </w:num>
  <w:num w:numId="6" w16cid:durableId="1402631726">
    <w:abstractNumId w:val="1"/>
  </w:num>
  <w:num w:numId="7" w16cid:durableId="178861676">
    <w:abstractNumId w:val="6"/>
  </w:num>
  <w:num w:numId="8" w16cid:durableId="1582347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0333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12398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3002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F8B"/>
    <w:rsid w:val="00AC58A5"/>
    <w:rsid w:val="00AC6F8B"/>
    <w:rsid w:val="00C53C5F"/>
    <w:rsid w:val="00F42E31"/>
    <w:rsid w:val="00F565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F70EC96"/>
  <w15:docId w15:val="{476D796B-AA66-CF4F-94C0-027DCEAE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3333"/>
        <w:sz w:val="24"/>
        <w:szCs w:val="24"/>
        <w:lang w:val="es" w:eastAsia="es-ES_tradnl"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EE"/>
    <w:rPr>
      <w:rFonts w:cs="Times New Roman"/>
      <w:lang w:eastAsia="es-ES"/>
    </w:rPr>
  </w:style>
  <w:style w:type="paragraph" w:styleId="Ttulo1">
    <w:name w:val="heading 1"/>
    <w:next w:val="Normal"/>
    <w:link w:val="Ttulo1Car"/>
    <w:uiPriority w:val="9"/>
    <w:qFormat/>
    <w:rsid w:val="00507E5B"/>
    <w:pPr>
      <w:keepNext/>
      <w:keepLines/>
      <w:spacing w:after="200"/>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
    <w:semiHidden/>
    <w:unhideWhenUsed/>
    <w:qFormat/>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7"/>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line="240" w:lineRule="auto"/>
    </w:pPr>
    <w:rPr>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7"/>
      </w:numPr>
      <w:contextualSpacing/>
    </w:pPr>
  </w:style>
  <w:style w:type="paragraph" w:customStyle="1" w:styleId="ListanumeradaTEST">
    <w:name w:val="Lista numerada (TEST)"/>
    <w:basedOn w:val="Normal"/>
    <w:qFormat/>
    <w:rsid w:val="00A77244"/>
    <w:pPr>
      <w:tabs>
        <w:tab w:val="num" w:pos="720"/>
      </w:tabs>
      <w:ind w:left="720" w:hanging="720"/>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line="240" w:lineRule="auto"/>
    </w:p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line="240" w:lineRule="auto"/>
    </w:p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style>
  <w:style w:type="table" w:customStyle="1" w:styleId="TablaUNIR30">
    <w:name w:val="Tabla UNIR 3"/>
    <w:basedOn w:val="Tablanormal"/>
    <w:uiPriority w:val="99"/>
    <w:rsid w:val="005C4BE9"/>
    <w:pPr>
      <w:spacing w:line="240" w:lineRule="auto"/>
    </w:pPr>
    <w:rPr>
      <w:rFonts w:ascii="UnitOT-Light" w:hAnsi="UnitOT-Light"/>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3389/fimmu.2023.109816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1o6fKDpNwkkBzW6gaQp3/GQVw==">CgMxLjAyDmguZDhsbDNwcGxyNWQzMg5oLmpoNXhxcWl0NHFhejIOaC5ocmN3MHhobnR1dncyDWguYmRjbHRjM2JseTYyDmgudG1nam0xNXBxMWY4Mg5oLmtuaGNhcWgyNGF2dDINaC45YmthYXY2cGtibzIOaC5wOGMzbzhlOTNuMGc4AHIhMXdnaEtMUkE5UDlsQkk0bWdwX3Znd1BaWHRucWl4NkF3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2434</Words>
  <Characters>13390</Characters>
  <Application>Microsoft Office Word</Application>
  <DocSecurity>0</DocSecurity>
  <Lines>111</Lines>
  <Paragraphs>31</Paragraphs>
  <ScaleCrop>false</ScaleCrop>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laura yera fernandez</cp:lastModifiedBy>
  <cp:revision>4</cp:revision>
  <dcterms:created xsi:type="dcterms:W3CDTF">2021-10-15T05:29:00Z</dcterms:created>
  <dcterms:modified xsi:type="dcterms:W3CDTF">2025-06-23T12:56:00Z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