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134D3" w14:textId="77777777" w:rsidR="00F67722" w:rsidRPr="0041206F" w:rsidRDefault="00000000">
      <w:pPr>
        <w:spacing w:after="80"/>
        <w:jc w:val="center"/>
        <w:rPr>
          <w:rFonts w:ascii="Times New Roman" w:hAnsi="Times New Roman" w:cs="Times New Roman"/>
          <w:color w:val="000000" w:themeColor="text1"/>
        </w:rPr>
      </w:pPr>
      <w:r w:rsidRPr="0041206F">
        <w:rPr>
          <w:rFonts w:ascii="Times New Roman" w:hAnsi="Times New Roman" w:cs="Times New Roman"/>
          <w:b/>
          <w:bCs/>
          <w:color w:val="000000" w:themeColor="text1"/>
          <w:sz w:val="36"/>
          <w:szCs w:val="36"/>
        </w:rPr>
        <w:t>Arquitectura de Microservicios para una EPS</w:t>
      </w:r>
    </w:p>
    <w:p w14:paraId="0C0451C8" w14:textId="77777777" w:rsidR="00F67722" w:rsidRPr="0041206F" w:rsidRDefault="00000000">
      <w:pPr>
        <w:spacing w:after="300"/>
        <w:jc w:val="center"/>
        <w:rPr>
          <w:rFonts w:ascii="Times New Roman" w:hAnsi="Times New Roman" w:cs="Times New Roman"/>
          <w:color w:val="000000" w:themeColor="text1"/>
        </w:rPr>
      </w:pPr>
      <w:r w:rsidRPr="0041206F">
        <w:rPr>
          <w:rFonts w:ascii="Times New Roman" w:hAnsi="Times New Roman" w:cs="Times New Roman"/>
          <w:i/>
          <w:iCs/>
          <w:color w:val="000000" w:themeColor="text1"/>
        </w:rPr>
        <w:t>Laura Pacheco</w:t>
      </w:r>
    </w:p>
    <w:p w14:paraId="1CC211F1" w14:textId="77777777" w:rsidR="00F67722" w:rsidRPr="0041206F" w:rsidRDefault="00000000">
      <w:pPr>
        <w:pStyle w:val="Ttulo1"/>
        <w:rPr>
          <w:rFonts w:ascii="Times New Roman" w:hAnsi="Times New Roman" w:cs="Times New Roman"/>
          <w:color w:val="000000" w:themeColor="text1"/>
        </w:rPr>
      </w:pPr>
      <w:r w:rsidRPr="0041206F">
        <w:rPr>
          <w:rFonts w:ascii="Times New Roman" w:hAnsi="Times New Roman" w:cs="Times New Roman"/>
          <w:color w:val="000000" w:themeColor="text1"/>
        </w:rPr>
        <w:t>1. ¿Qué es la arquitectura de microservicios?</w:t>
      </w:r>
    </w:p>
    <w:p w14:paraId="5C370B70" w14:textId="77777777" w:rsidR="00F67722" w:rsidRPr="0041206F" w:rsidRDefault="00000000">
      <w:pPr>
        <w:spacing w:after="120"/>
        <w:rPr>
          <w:rFonts w:ascii="Times New Roman" w:hAnsi="Times New Roman" w:cs="Times New Roman"/>
          <w:color w:val="000000" w:themeColor="text1"/>
        </w:rPr>
      </w:pPr>
      <w:r w:rsidRPr="0041206F">
        <w:rPr>
          <w:rFonts w:ascii="Times New Roman" w:hAnsi="Times New Roman" w:cs="Times New Roman"/>
          <w:color w:val="000000" w:themeColor="text1"/>
        </w:rPr>
        <w:t xml:space="preserve">La arquitectura de microservicios es un estilo de diseño de software en el que una aplicación se construye como un conjunto de servicios pequeños e independientes. Cada servicio se encarga de una capacidad de negocio concreta, se ejecuta en su propio proceso, tiene su propia base de datos y se comunica con los demás a través de interfaces bien definidas, normalmente </w:t>
      </w:r>
      <w:proofErr w:type="spellStart"/>
      <w:r w:rsidRPr="0041206F">
        <w:rPr>
          <w:rFonts w:ascii="Times New Roman" w:hAnsi="Times New Roman" w:cs="Times New Roman"/>
          <w:color w:val="000000" w:themeColor="text1"/>
        </w:rPr>
        <w:t>APIs</w:t>
      </w:r>
      <w:proofErr w:type="spellEnd"/>
      <w:r w:rsidRPr="0041206F">
        <w:rPr>
          <w:rFonts w:ascii="Times New Roman" w:hAnsi="Times New Roman" w:cs="Times New Roman"/>
          <w:color w:val="000000" w:themeColor="text1"/>
        </w:rPr>
        <w:t xml:space="preserve"> HTTP/REST o mensajes asíncronos.</w:t>
      </w:r>
    </w:p>
    <w:p w14:paraId="46BEAD11" w14:textId="77777777" w:rsidR="00F67722" w:rsidRPr="0041206F" w:rsidRDefault="00000000">
      <w:pPr>
        <w:spacing w:after="120"/>
        <w:rPr>
          <w:rFonts w:ascii="Times New Roman" w:hAnsi="Times New Roman" w:cs="Times New Roman"/>
          <w:color w:val="000000" w:themeColor="text1"/>
        </w:rPr>
      </w:pPr>
      <w:r w:rsidRPr="0041206F">
        <w:rPr>
          <w:rFonts w:ascii="Times New Roman" w:hAnsi="Times New Roman" w:cs="Times New Roman"/>
          <w:color w:val="000000" w:themeColor="text1"/>
        </w:rPr>
        <w:t>Es lo opuesto a una arquitectura monolítica, donde toda la lógica (usuarios, pagos, reportes, etc.) vive en una sola aplicación que se compila y se despliega como una unidad. En un monolito, un cambio pequeño obliga a desplegar todo el sistema y un fallo en un módulo puede tumbar la aplicación completa.</w:t>
      </w:r>
    </w:p>
    <w:p w14:paraId="1C0235CD" w14:textId="77777777" w:rsidR="00F67722" w:rsidRPr="0041206F" w:rsidRDefault="00000000">
      <w:pPr>
        <w:pStyle w:val="Ttulo2"/>
        <w:rPr>
          <w:rFonts w:ascii="Times New Roman" w:hAnsi="Times New Roman" w:cs="Times New Roman"/>
          <w:color w:val="000000" w:themeColor="text1"/>
        </w:rPr>
      </w:pPr>
      <w:r w:rsidRPr="0041206F">
        <w:rPr>
          <w:rFonts w:ascii="Times New Roman" w:hAnsi="Times New Roman" w:cs="Times New Roman"/>
          <w:color w:val="000000" w:themeColor="text1"/>
        </w:rPr>
        <w:t>1.1 Características principales</w:t>
      </w:r>
    </w:p>
    <w:p w14:paraId="1BD6BE09" w14:textId="77777777" w:rsidR="00F67722" w:rsidRPr="0041206F" w:rsidRDefault="00000000">
      <w:pPr>
        <w:pStyle w:val="Prrafodelista"/>
        <w:numPr>
          <w:ilvl w:val="0"/>
          <w:numId w:val="2"/>
        </w:numPr>
        <w:spacing w:after="60"/>
        <w:rPr>
          <w:rFonts w:ascii="Times New Roman" w:hAnsi="Times New Roman" w:cs="Times New Roman"/>
          <w:color w:val="000000" w:themeColor="text1"/>
        </w:rPr>
      </w:pPr>
      <w:r w:rsidRPr="0041206F">
        <w:rPr>
          <w:rFonts w:ascii="Times New Roman" w:hAnsi="Times New Roman" w:cs="Times New Roman"/>
          <w:b/>
          <w:bCs/>
          <w:color w:val="000000" w:themeColor="text1"/>
        </w:rPr>
        <w:t xml:space="preserve">Responsabilidad única: </w:t>
      </w:r>
      <w:r w:rsidRPr="0041206F">
        <w:rPr>
          <w:rFonts w:ascii="Times New Roman" w:hAnsi="Times New Roman" w:cs="Times New Roman"/>
          <w:color w:val="000000" w:themeColor="text1"/>
        </w:rPr>
        <w:t>cada microservicio resuelve un solo dominio del negocio (por ejemplo, citas o facturación).</w:t>
      </w:r>
    </w:p>
    <w:p w14:paraId="18451A77" w14:textId="77777777" w:rsidR="00F67722" w:rsidRPr="0041206F" w:rsidRDefault="00000000">
      <w:pPr>
        <w:pStyle w:val="Prrafodelista"/>
        <w:numPr>
          <w:ilvl w:val="0"/>
          <w:numId w:val="2"/>
        </w:numPr>
        <w:spacing w:after="60"/>
        <w:rPr>
          <w:rFonts w:ascii="Times New Roman" w:hAnsi="Times New Roman" w:cs="Times New Roman"/>
          <w:color w:val="000000" w:themeColor="text1"/>
        </w:rPr>
      </w:pPr>
      <w:r w:rsidRPr="0041206F">
        <w:rPr>
          <w:rFonts w:ascii="Times New Roman" w:hAnsi="Times New Roman" w:cs="Times New Roman"/>
          <w:b/>
          <w:bCs/>
          <w:color w:val="000000" w:themeColor="text1"/>
        </w:rPr>
        <w:t xml:space="preserve">Despliegue independiente: </w:t>
      </w:r>
      <w:r w:rsidRPr="0041206F">
        <w:rPr>
          <w:rFonts w:ascii="Times New Roman" w:hAnsi="Times New Roman" w:cs="Times New Roman"/>
          <w:color w:val="000000" w:themeColor="text1"/>
        </w:rPr>
        <w:t>un servicio se puede actualizar sin detener ni volver a desplegar los demás.</w:t>
      </w:r>
    </w:p>
    <w:p w14:paraId="2E150DBD" w14:textId="77777777" w:rsidR="00F67722" w:rsidRPr="0041206F" w:rsidRDefault="00000000">
      <w:pPr>
        <w:pStyle w:val="Prrafodelista"/>
        <w:numPr>
          <w:ilvl w:val="0"/>
          <w:numId w:val="2"/>
        </w:numPr>
        <w:spacing w:after="60"/>
        <w:rPr>
          <w:rFonts w:ascii="Times New Roman" w:hAnsi="Times New Roman" w:cs="Times New Roman"/>
          <w:color w:val="000000" w:themeColor="text1"/>
        </w:rPr>
      </w:pPr>
      <w:r w:rsidRPr="0041206F">
        <w:rPr>
          <w:rFonts w:ascii="Times New Roman" w:hAnsi="Times New Roman" w:cs="Times New Roman"/>
          <w:b/>
          <w:bCs/>
          <w:color w:val="000000" w:themeColor="text1"/>
        </w:rPr>
        <w:t xml:space="preserve">Base de datos por servicio: </w:t>
      </w:r>
      <w:r w:rsidRPr="0041206F">
        <w:rPr>
          <w:rFonts w:ascii="Times New Roman" w:hAnsi="Times New Roman" w:cs="Times New Roman"/>
          <w:color w:val="000000" w:themeColor="text1"/>
        </w:rPr>
        <w:t>cada servicio es dueño de sus datos; los otros solo acceden a ellos a través de su API.</w:t>
      </w:r>
    </w:p>
    <w:p w14:paraId="78BCE293" w14:textId="77777777" w:rsidR="00F67722" w:rsidRPr="0041206F" w:rsidRDefault="00000000">
      <w:pPr>
        <w:pStyle w:val="Prrafodelista"/>
        <w:numPr>
          <w:ilvl w:val="0"/>
          <w:numId w:val="2"/>
        </w:numPr>
        <w:spacing w:after="60"/>
        <w:rPr>
          <w:rFonts w:ascii="Times New Roman" w:hAnsi="Times New Roman" w:cs="Times New Roman"/>
          <w:color w:val="000000" w:themeColor="text1"/>
        </w:rPr>
      </w:pPr>
      <w:r w:rsidRPr="0041206F">
        <w:rPr>
          <w:rFonts w:ascii="Times New Roman" w:hAnsi="Times New Roman" w:cs="Times New Roman"/>
          <w:b/>
          <w:bCs/>
          <w:color w:val="000000" w:themeColor="text1"/>
        </w:rPr>
        <w:t xml:space="preserve">Comunicación ligera: </w:t>
      </w:r>
      <w:r w:rsidRPr="0041206F">
        <w:rPr>
          <w:rFonts w:ascii="Times New Roman" w:hAnsi="Times New Roman" w:cs="Times New Roman"/>
          <w:color w:val="000000" w:themeColor="text1"/>
        </w:rPr>
        <w:t xml:space="preserve">síncrona (REST, </w:t>
      </w:r>
      <w:proofErr w:type="spellStart"/>
      <w:r w:rsidRPr="0041206F">
        <w:rPr>
          <w:rFonts w:ascii="Times New Roman" w:hAnsi="Times New Roman" w:cs="Times New Roman"/>
          <w:color w:val="000000" w:themeColor="text1"/>
        </w:rPr>
        <w:t>gRPC</w:t>
      </w:r>
      <w:proofErr w:type="spellEnd"/>
      <w:r w:rsidRPr="0041206F">
        <w:rPr>
          <w:rFonts w:ascii="Times New Roman" w:hAnsi="Times New Roman" w:cs="Times New Roman"/>
          <w:color w:val="000000" w:themeColor="text1"/>
        </w:rPr>
        <w:t>) para consultas inmediatas y asíncrona (colas o eventos) para procesos que no necesitan respuesta inmediata.</w:t>
      </w:r>
    </w:p>
    <w:p w14:paraId="014D1638" w14:textId="77777777" w:rsidR="00F67722" w:rsidRPr="0041206F" w:rsidRDefault="00000000">
      <w:pPr>
        <w:pStyle w:val="Prrafodelista"/>
        <w:numPr>
          <w:ilvl w:val="0"/>
          <w:numId w:val="2"/>
        </w:numPr>
        <w:spacing w:after="60"/>
        <w:rPr>
          <w:rFonts w:ascii="Times New Roman" w:hAnsi="Times New Roman" w:cs="Times New Roman"/>
          <w:color w:val="000000" w:themeColor="text1"/>
        </w:rPr>
      </w:pPr>
      <w:r w:rsidRPr="0041206F">
        <w:rPr>
          <w:rFonts w:ascii="Times New Roman" w:hAnsi="Times New Roman" w:cs="Times New Roman"/>
          <w:b/>
          <w:bCs/>
          <w:color w:val="000000" w:themeColor="text1"/>
        </w:rPr>
        <w:t xml:space="preserve">Tecnología heterogénea: </w:t>
      </w:r>
      <w:r w:rsidRPr="0041206F">
        <w:rPr>
          <w:rFonts w:ascii="Times New Roman" w:hAnsi="Times New Roman" w:cs="Times New Roman"/>
          <w:color w:val="000000" w:themeColor="text1"/>
        </w:rPr>
        <w:t>cada equipo puede elegir el lenguaje o la base de datos que mejor se adapte a su servicio.</w:t>
      </w:r>
    </w:p>
    <w:p w14:paraId="055A1CB8" w14:textId="77777777" w:rsidR="00F67722" w:rsidRPr="0041206F" w:rsidRDefault="00000000">
      <w:pPr>
        <w:pStyle w:val="Prrafodelista"/>
        <w:numPr>
          <w:ilvl w:val="0"/>
          <w:numId w:val="2"/>
        </w:numPr>
        <w:spacing w:after="60"/>
        <w:rPr>
          <w:rFonts w:ascii="Times New Roman" w:hAnsi="Times New Roman" w:cs="Times New Roman"/>
          <w:color w:val="000000" w:themeColor="text1"/>
        </w:rPr>
      </w:pPr>
      <w:r w:rsidRPr="0041206F">
        <w:rPr>
          <w:rFonts w:ascii="Times New Roman" w:hAnsi="Times New Roman" w:cs="Times New Roman"/>
          <w:b/>
          <w:bCs/>
          <w:color w:val="000000" w:themeColor="text1"/>
        </w:rPr>
        <w:t xml:space="preserve">Tolerancia a fallos: </w:t>
      </w:r>
      <w:r w:rsidRPr="0041206F">
        <w:rPr>
          <w:rFonts w:ascii="Times New Roman" w:hAnsi="Times New Roman" w:cs="Times New Roman"/>
          <w:color w:val="000000" w:themeColor="text1"/>
        </w:rPr>
        <w:t>si un servicio cae, el resto del sistema puede seguir funcionando de forma degradada.</w:t>
      </w:r>
    </w:p>
    <w:p w14:paraId="6D0C5F10" w14:textId="77777777" w:rsidR="00F67722" w:rsidRPr="0041206F" w:rsidRDefault="00000000">
      <w:pPr>
        <w:pStyle w:val="Ttulo2"/>
        <w:rPr>
          <w:rFonts w:ascii="Times New Roman" w:hAnsi="Times New Roman" w:cs="Times New Roman"/>
          <w:color w:val="000000" w:themeColor="text1"/>
        </w:rPr>
      </w:pPr>
      <w:r w:rsidRPr="0041206F">
        <w:rPr>
          <w:rFonts w:ascii="Times New Roman" w:hAnsi="Times New Roman" w:cs="Times New Roman"/>
          <w:color w:val="000000" w:themeColor="text1"/>
        </w:rPr>
        <w:t>1.2 Componentes habituales</w:t>
      </w:r>
    </w:p>
    <w:p w14:paraId="0EA7D234" w14:textId="77777777" w:rsidR="00F67722" w:rsidRPr="0041206F" w:rsidRDefault="00000000">
      <w:pPr>
        <w:pStyle w:val="Prrafodelista"/>
        <w:numPr>
          <w:ilvl w:val="0"/>
          <w:numId w:val="2"/>
        </w:numPr>
        <w:spacing w:after="60"/>
        <w:rPr>
          <w:rFonts w:ascii="Times New Roman" w:hAnsi="Times New Roman" w:cs="Times New Roman"/>
          <w:color w:val="000000" w:themeColor="text1"/>
        </w:rPr>
      </w:pPr>
      <w:r w:rsidRPr="0041206F">
        <w:rPr>
          <w:rFonts w:ascii="Times New Roman" w:hAnsi="Times New Roman" w:cs="Times New Roman"/>
          <w:b/>
          <w:bCs/>
          <w:color w:val="000000" w:themeColor="text1"/>
        </w:rPr>
        <w:t xml:space="preserve">API Gateway: </w:t>
      </w:r>
      <w:r w:rsidRPr="0041206F">
        <w:rPr>
          <w:rFonts w:ascii="Times New Roman" w:hAnsi="Times New Roman" w:cs="Times New Roman"/>
          <w:color w:val="000000" w:themeColor="text1"/>
        </w:rPr>
        <w:t>punto de entrada único para los clientes. Enruta las peticiones al microservicio correspondiente y centraliza seguridad, límites de tráfico y registro.</w:t>
      </w:r>
    </w:p>
    <w:p w14:paraId="5737C777" w14:textId="77777777" w:rsidR="00F67722" w:rsidRPr="0041206F" w:rsidRDefault="00000000">
      <w:pPr>
        <w:pStyle w:val="Prrafodelista"/>
        <w:numPr>
          <w:ilvl w:val="0"/>
          <w:numId w:val="2"/>
        </w:numPr>
        <w:spacing w:after="60"/>
        <w:rPr>
          <w:rFonts w:ascii="Times New Roman" w:hAnsi="Times New Roman" w:cs="Times New Roman"/>
          <w:color w:val="000000" w:themeColor="text1"/>
        </w:rPr>
      </w:pPr>
      <w:r w:rsidRPr="0041206F">
        <w:rPr>
          <w:rFonts w:ascii="Times New Roman" w:hAnsi="Times New Roman" w:cs="Times New Roman"/>
          <w:b/>
          <w:bCs/>
          <w:color w:val="000000" w:themeColor="text1"/>
        </w:rPr>
        <w:t xml:space="preserve">Servicio de autenticación: </w:t>
      </w:r>
      <w:r w:rsidRPr="0041206F">
        <w:rPr>
          <w:rFonts w:ascii="Times New Roman" w:hAnsi="Times New Roman" w:cs="Times New Roman"/>
          <w:color w:val="000000" w:themeColor="text1"/>
        </w:rPr>
        <w:t>emite y valida tokens (OAuth2 / JWT) para que cada servicio sepa quién hace la petición y qué permisos tiene.</w:t>
      </w:r>
    </w:p>
    <w:p w14:paraId="11EC1160" w14:textId="77777777" w:rsidR="00F67722" w:rsidRPr="0041206F" w:rsidRDefault="00000000">
      <w:pPr>
        <w:pStyle w:val="Prrafodelista"/>
        <w:numPr>
          <w:ilvl w:val="0"/>
          <w:numId w:val="2"/>
        </w:numPr>
        <w:spacing w:after="60"/>
        <w:rPr>
          <w:rFonts w:ascii="Times New Roman" w:hAnsi="Times New Roman" w:cs="Times New Roman"/>
          <w:color w:val="000000" w:themeColor="text1"/>
        </w:rPr>
      </w:pPr>
      <w:r w:rsidRPr="0041206F">
        <w:rPr>
          <w:rFonts w:ascii="Times New Roman" w:hAnsi="Times New Roman" w:cs="Times New Roman"/>
          <w:b/>
          <w:bCs/>
          <w:color w:val="000000" w:themeColor="text1"/>
        </w:rPr>
        <w:t xml:space="preserve">Service </w:t>
      </w:r>
      <w:proofErr w:type="spellStart"/>
      <w:r w:rsidRPr="0041206F">
        <w:rPr>
          <w:rFonts w:ascii="Times New Roman" w:hAnsi="Times New Roman" w:cs="Times New Roman"/>
          <w:b/>
          <w:bCs/>
          <w:color w:val="000000" w:themeColor="text1"/>
        </w:rPr>
        <w:t>discovery</w:t>
      </w:r>
      <w:proofErr w:type="spellEnd"/>
      <w:r w:rsidRPr="0041206F">
        <w:rPr>
          <w:rFonts w:ascii="Times New Roman" w:hAnsi="Times New Roman" w:cs="Times New Roman"/>
          <w:b/>
          <w:bCs/>
          <w:color w:val="000000" w:themeColor="text1"/>
        </w:rPr>
        <w:t xml:space="preserve">: </w:t>
      </w:r>
      <w:r w:rsidRPr="0041206F">
        <w:rPr>
          <w:rFonts w:ascii="Times New Roman" w:hAnsi="Times New Roman" w:cs="Times New Roman"/>
          <w:color w:val="000000" w:themeColor="text1"/>
        </w:rPr>
        <w:t>registro donde los servicios se anuncian para que otros puedan encontrarlos sin direcciones fijas.</w:t>
      </w:r>
    </w:p>
    <w:p w14:paraId="28634DFE" w14:textId="77777777" w:rsidR="00F67722" w:rsidRPr="0041206F" w:rsidRDefault="00000000">
      <w:pPr>
        <w:pStyle w:val="Prrafodelista"/>
        <w:numPr>
          <w:ilvl w:val="0"/>
          <w:numId w:val="2"/>
        </w:numPr>
        <w:spacing w:after="60"/>
        <w:rPr>
          <w:rFonts w:ascii="Times New Roman" w:hAnsi="Times New Roman" w:cs="Times New Roman"/>
          <w:color w:val="000000" w:themeColor="text1"/>
        </w:rPr>
      </w:pPr>
      <w:r w:rsidRPr="0041206F">
        <w:rPr>
          <w:rFonts w:ascii="Times New Roman" w:hAnsi="Times New Roman" w:cs="Times New Roman"/>
          <w:b/>
          <w:bCs/>
          <w:color w:val="000000" w:themeColor="text1"/>
        </w:rPr>
        <w:t xml:space="preserve">Bus de mensajes o eventos: </w:t>
      </w:r>
      <w:r w:rsidRPr="0041206F">
        <w:rPr>
          <w:rFonts w:ascii="Times New Roman" w:hAnsi="Times New Roman" w:cs="Times New Roman"/>
          <w:color w:val="000000" w:themeColor="text1"/>
        </w:rPr>
        <w:t xml:space="preserve">herramientas como Kafka o </w:t>
      </w:r>
      <w:proofErr w:type="spellStart"/>
      <w:r w:rsidRPr="0041206F">
        <w:rPr>
          <w:rFonts w:ascii="Times New Roman" w:hAnsi="Times New Roman" w:cs="Times New Roman"/>
          <w:color w:val="000000" w:themeColor="text1"/>
        </w:rPr>
        <w:t>RabbitMQ</w:t>
      </w:r>
      <w:proofErr w:type="spellEnd"/>
      <w:r w:rsidRPr="0041206F">
        <w:rPr>
          <w:rFonts w:ascii="Times New Roman" w:hAnsi="Times New Roman" w:cs="Times New Roman"/>
          <w:color w:val="000000" w:themeColor="text1"/>
        </w:rPr>
        <w:t xml:space="preserve"> que permiten que un servicio publique un evento y otros reaccionen a él sin acoplarse.</w:t>
      </w:r>
    </w:p>
    <w:p w14:paraId="04B3D302" w14:textId="77777777" w:rsidR="00F67722" w:rsidRPr="0041206F" w:rsidRDefault="00000000">
      <w:pPr>
        <w:pStyle w:val="Prrafodelista"/>
        <w:numPr>
          <w:ilvl w:val="0"/>
          <w:numId w:val="2"/>
        </w:numPr>
        <w:spacing w:after="60"/>
        <w:rPr>
          <w:rFonts w:ascii="Times New Roman" w:hAnsi="Times New Roman" w:cs="Times New Roman"/>
          <w:color w:val="000000" w:themeColor="text1"/>
        </w:rPr>
      </w:pPr>
      <w:r w:rsidRPr="0041206F">
        <w:rPr>
          <w:rFonts w:ascii="Times New Roman" w:hAnsi="Times New Roman" w:cs="Times New Roman"/>
          <w:b/>
          <w:bCs/>
          <w:color w:val="000000" w:themeColor="text1"/>
        </w:rPr>
        <w:t xml:space="preserve">Contenedores y orquestación: </w:t>
      </w:r>
      <w:r w:rsidRPr="0041206F">
        <w:rPr>
          <w:rFonts w:ascii="Times New Roman" w:hAnsi="Times New Roman" w:cs="Times New Roman"/>
          <w:color w:val="000000" w:themeColor="text1"/>
        </w:rPr>
        <w:t xml:space="preserve">Docker empaqueta cada servicio y </w:t>
      </w:r>
      <w:proofErr w:type="spellStart"/>
      <w:r w:rsidRPr="0041206F">
        <w:rPr>
          <w:rFonts w:ascii="Times New Roman" w:hAnsi="Times New Roman" w:cs="Times New Roman"/>
          <w:color w:val="000000" w:themeColor="text1"/>
        </w:rPr>
        <w:t>Kubernetes</w:t>
      </w:r>
      <w:proofErr w:type="spellEnd"/>
      <w:r w:rsidRPr="0041206F">
        <w:rPr>
          <w:rFonts w:ascii="Times New Roman" w:hAnsi="Times New Roman" w:cs="Times New Roman"/>
          <w:color w:val="000000" w:themeColor="text1"/>
        </w:rPr>
        <w:t xml:space="preserve"> se encarga de desplegarlo, escalarlo y reiniciarlo si falla.</w:t>
      </w:r>
    </w:p>
    <w:p w14:paraId="01B29D04" w14:textId="77777777" w:rsidR="00F67722" w:rsidRPr="0041206F" w:rsidRDefault="00000000">
      <w:pPr>
        <w:pStyle w:val="Prrafodelista"/>
        <w:numPr>
          <w:ilvl w:val="0"/>
          <w:numId w:val="2"/>
        </w:numPr>
        <w:spacing w:after="60"/>
        <w:rPr>
          <w:rFonts w:ascii="Times New Roman" w:hAnsi="Times New Roman" w:cs="Times New Roman"/>
          <w:color w:val="000000" w:themeColor="text1"/>
        </w:rPr>
      </w:pPr>
      <w:proofErr w:type="spellStart"/>
      <w:r w:rsidRPr="0041206F">
        <w:rPr>
          <w:rFonts w:ascii="Times New Roman" w:hAnsi="Times New Roman" w:cs="Times New Roman"/>
          <w:b/>
          <w:bCs/>
          <w:color w:val="000000" w:themeColor="text1"/>
        </w:rPr>
        <w:t>Observabilidad</w:t>
      </w:r>
      <w:proofErr w:type="spellEnd"/>
      <w:r w:rsidRPr="0041206F">
        <w:rPr>
          <w:rFonts w:ascii="Times New Roman" w:hAnsi="Times New Roman" w:cs="Times New Roman"/>
          <w:b/>
          <w:bCs/>
          <w:color w:val="000000" w:themeColor="text1"/>
        </w:rPr>
        <w:t xml:space="preserve">: </w:t>
      </w:r>
      <w:r w:rsidRPr="0041206F">
        <w:rPr>
          <w:rFonts w:ascii="Times New Roman" w:hAnsi="Times New Roman" w:cs="Times New Roman"/>
          <w:color w:val="000000" w:themeColor="text1"/>
        </w:rPr>
        <w:t>logs centralizados, métricas y trazas distribuidas para seguir una petición a través de varios servicios.</w:t>
      </w:r>
    </w:p>
    <w:p w14:paraId="3C3E5927" w14:textId="77777777" w:rsidR="00F67722" w:rsidRPr="0041206F" w:rsidRDefault="00000000">
      <w:pPr>
        <w:pStyle w:val="Ttulo2"/>
        <w:rPr>
          <w:rFonts w:ascii="Times New Roman" w:hAnsi="Times New Roman" w:cs="Times New Roman"/>
          <w:color w:val="000000" w:themeColor="text1"/>
        </w:rPr>
      </w:pPr>
      <w:r w:rsidRPr="0041206F">
        <w:rPr>
          <w:rFonts w:ascii="Times New Roman" w:hAnsi="Times New Roman" w:cs="Times New Roman"/>
          <w:color w:val="000000" w:themeColor="text1"/>
        </w:rPr>
        <w:t>1.3 Ventajas y desventajas</w:t>
      </w:r>
    </w:p>
    <w:p w14:paraId="3EEEF793" w14:textId="77777777" w:rsidR="00F67722" w:rsidRPr="0041206F" w:rsidRDefault="00000000">
      <w:pPr>
        <w:spacing w:after="120"/>
        <w:rPr>
          <w:rFonts w:ascii="Times New Roman" w:hAnsi="Times New Roman" w:cs="Times New Roman"/>
          <w:color w:val="000000" w:themeColor="text1"/>
        </w:rPr>
      </w:pPr>
      <w:r w:rsidRPr="0041206F">
        <w:rPr>
          <w:rFonts w:ascii="Times New Roman" w:hAnsi="Times New Roman" w:cs="Times New Roman"/>
          <w:color w:val="000000" w:themeColor="text1"/>
        </w:rPr>
        <w:t>Ventajas: escalado individual de los servicios con más carga, equipos autónomos que entregan más rápido, fallos aislados y libertad tecnológica.</w:t>
      </w:r>
    </w:p>
    <w:p w14:paraId="709C9B0A" w14:textId="77777777" w:rsidR="00F67722" w:rsidRPr="0041206F" w:rsidRDefault="00000000">
      <w:pPr>
        <w:spacing w:after="120"/>
        <w:rPr>
          <w:rFonts w:ascii="Times New Roman" w:hAnsi="Times New Roman" w:cs="Times New Roman"/>
          <w:color w:val="000000" w:themeColor="text1"/>
        </w:rPr>
      </w:pPr>
      <w:r w:rsidRPr="0041206F">
        <w:rPr>
          <w:rFonts w:ascii="Times New Roman" w:hAnsi="Times New Roman" w:cs="Times New Roman"/>
          <w:color w:val="000000" w:themeColor="text1"/>
        </w:rPr>
        <w:lastRenderedPageBreak/>
        <w:t>Desventajas: mayor complejidad operativa, necesidad de monitoreo distribuido, consistencia eventual de los datos entre servicios, latencia de red y pruebas de integración más difíciles.</w:t>
      </w:r>
    </w:p>
    <w:p w14:paraId="42F4CA44" w14:textId="77777777" w:rsidR="00F67722" w:rsidRPr="0041206F" w:rsidRDefault="00000000">
      <w:pPr>
        <w:pStyle w:val="Ttulo1"/>
        <w:rPr>
          <w:rFonts w:ascii="Times New Roman" w:hAnsi="Times New Roman" w:cs="Times New Roman"/>
          <w:color w:val="000000" w:themeColor="text1"/>
        </w:rPr>
      </w:pPr>
      <w:r w:rsidRPr="0041206F">
        <w:rPr>
          <w:rFonts w:ascii="Times New Roman" w:hAnsi="Times New Roman" w:cs="Times New Roman"/>
          <w:color w:val="000000" w:themeColor="text1"/>
        </w:rPr>
        <w:t>2. Aplicación a una EPS</w:t>
      </w:r>
    </w:p>
    <w:p w14:paraId="4400614E" w14:textId="77777777" w:rsidR="00F67722" w:rsidRPr="0041206F" w:rsidRDefault="00000000">
      <w:pPr>
        <w:spacing w:after="120"/>
        <w:rPr>
          <w:rFonts w:ascii="Times New Roman" w:hAnsi="Times New Roman" w:cs="Times New Roman"/>
          <w:color w:val="000000" w:themeColor="text1"/>
        </w:rPr>
      </w:pPr>
      <w:r w:rsidRPr="0041206F">
        <w:rPr>
          <w:rFonts w:ascii="Times New Roman" w:hAnsi="Times New Roman" w:cs="Times New Roman"/>
          <w:color w:val="000000" w:themeColor="text1"/>
        </w:rPr>
        <w:t>Una EPS (Entidad Promotora de Salud) gestiona la afiliación de usuarios al sistema de salud, la programación de citas, las autorizaciones de servicios, la historia clínica y los pagos a la red de prestadores (IPS). Son dominios muy distintos, con cargas diferentes y requisitos de seguridad altos, por lo que encajan bien en una arquitectura de microservicios.</w:t>
      </w:r>
    </w:p>
    <w:p w14:paraId="5DA1B591" w14:textId="77777777" w:rsidR="00F67722" w:rsidRPr="0041206F" w:rsidRDefault="00000000">
      <w:pPr>
        <w:pStyle w:val="Ttulo2"/>
        <w:rPr>
          <w:rFonts w:ascii="Times New Roman" w:hAnsi="Times New Roman" w:cs="Times New Roman"/>
          <w:color w:val="000000" w:themeColor="text1"/>
        </w:rPr>
      </w:pPr>
      <w:r w:rsidRPr="0041206F">
        <w:rPr>
          <w:rFonts w:ascii="Times New Roman" w:hAnsi="Times New Roman" w:cs="Times New Roman"/>
          <w:color w:val="000000" w:themeColor="text1"/>
        </w:rPr>
        <w:t>2.1 Actores y canales</w:t>
      </w:r>
    </w:p>
    <w:p w14:paraId="1FBF596A" w14:textId="77777777" w:rsidR="00F67722" w:rsidRPr="0041206F" w:rsidRDefault="00000000">
      <w:pPr>
        <w:spacing w:after="120"/>
        <w:rPr>
          <w:rFonts w:ascii="Times New Roman" w:hAnsi="Times New Roman" w:cs="Times New Roman"/>
          <w:color w:val="000000" w:themeColor="text1"/>
        </w:rPr>
      </w:pPr>
      <w:r w:rsidRPr="0041206F">
        <w:rPr>
          <w:rFonts w:ascii="Times New Roman" w:hAnsi="Times New Roman" w:cs="Times New Roman"/>
          <w:color w:val="000000" w:themeColor="text1"/>
        </w:rPr>
        <w:t>Los afiliados, los médicos de las IPS y el personal administrativo acceden al sistema a través de un portal web y una aplicación móvil. Todos los canales se conectan únicamente al API Gateway; ningún cliente habla directamente con un microservicio.</w:t>
      </w:r>
    </w:p>
    <w:p w14:paraId="0AD5F3E7" w14:textId="77777777" w:rsidR="00F67722" w:rsidRPr="0041206F" w:rsidRDefault="00000000">
      <w:pPr>
        <w:pStyle w:val="Ttulo2"/>
        <w:rPr>
          <w:rFonts w:ascii="Times New Roman" w:hAnsi="Times New Roman" w:cs="Times New Roman"/>
          <w:color w:val="000000" w:themeColor="text1"/>
        </w:rPr>
      </w:pPr>
      <w:r w:rsidRPr="0041206F">
        <w:rPr>
          <w:rFonts w:ascii="Times New Roman" w:hAnsi="Times New Roman" w:cs="Times New Roman"/>
          <w:color w:val="000000" w:themeColor="text1"/>
        </w:rPr>
        <w:t>2.2 Microservicios propuestos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026"/>
      </w:tblGrid>
      <w:tr w:rsidR="00F67722" w:rsidRPr="0041206F" w14:paraId="1CC8A75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CFAA7D4" w14:textId="77777777" w:rsidR="00F67722" w:rsidRPr="0041206F" w:rsidRDefault="00000000">
            <w:pPr>
              <w:rPr>
                <w:rFonts w:ascii="Times New Roman" w:hAnsi="Times New Roman" w:cs="Times New Roman"/>
                <w:color w:val="000000" w:themeColor="text1"/>
              </w:rPr>
            </w:pPr>
            <w:r w:rsidRPr="0041206F">
              <w:rPr>
                <w:rFonts w:ascii="Times New Roman" w:hAnsi="Times New Roman" w:cs="Times New Roman"/>
                <w:b/>
                <w:bCs/>
                <w:color w:val="000000" w:themeColor="text1"/>
              </w:rPr>
              <w:t>Microservicio</w:t>
            </w:r>
          </w:p>
        </w:tc>
        <w:tc>
          <w:tcPr>
            <w:tcW w:w="3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70551B9" w14:textId="77777777" w:rsidR="00F67722" w:rsidRPr="0041206F" w:rsidRDefault="00000000">
            <w:pPr>
              <w:rPr>
                <w:rFonts w:ascii="Times New Roman" w:hAnsi="Times New Roman" w:cs="Times New Roman"/>
                <w:color w:val="000000" w:themeColor="text1"/>
              </w:rPr>
            </w:pPr>
            <w:r w:rsidRPr="0041206F">
              <w:rPr>
                <w:rFonts w:ascii="Times New Roman" w:hAnsi="Times New Roman" w:cs="Times New Roman"/>
                <w:b/>
                <w:bCs/>
                <w:color w:val="000000" w:themeColor="text1"/>
              </w:rPr>
              <w:t>Responsabilidad</w:t>
            </w:r>
          </w:p>
        </w:tc>
        <w:tc>
          <w:tcPr>
            <w:tcW w:w="30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21CFAA7" w14:textId="77777777" w:rsidR="00F67722" w:rsidRPr="0041206F" w:rsidRDefault="00000000">
            <w:pPr>
              <w:rPr>
                <w:rFonts w:ascii="Times New Roman" w:hAnsi="Times New Roman" w:cs="Times New Roman"/>
                <w:color w:val="000000" w:themeColor="text1"/>
              </w:rPr>
            </w:pPr>
            <w:r w:rsidRPr="0041206F">
              <w:rPr>
                <w:rFonts w:ascii="Times New Roman" w:hAnsi="Times New Roman" w:cs="Times New Roman"/>
                <w:b/>
                <w:bCs/>
                <w:color w:val="000000" w:themeColor="text1"/>
              </w:rPr>
              <w:t>Datos / integraciones</w:t>
            </w:r>
          </w:p>
        </w:tc>
      </w:tr>
      <w:tr w:rsidR="00F67722" w:rsidRPr="0041206F" w14:paraId="45A2FED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C8AA2B" w14:textId="77777777" w:rsidR="00F67722" w:rsidRPr="0041206F" w:rsidRDefault="00000000">
            <w:pPr>
              <w:rPr>
                <w:rFonts w:ascii="Times New Roman" w:hAnsi="Times New Roman" w:cs="Times New Roman"/>
                <w:color w:val="000000" w:themeColor="text1"/>
              </w:rPr>
            </w:pPr>
            <w:r w:rsidRPr="0041206F">
              <w:rPr>
                <w:rFonts w:ascii="Times New Roman" w:hAnsi="Times New Roman" w:cs="Times New Roman"/>
                <w:color w:val="000000" w:themeColor="text1"/>
              </w:rPr>
              <w:t>Afiliaciones</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350D3D" w14:textId="77777777" w:rsidR="00F67722" w:rsidRPr="0041206F" w:rsidRDefault="00000000">
            <w:pPr>
              <w:rPr>
                <w:rFonts w:ascii="Times New Roman" w:hAnsi="Times New Roman" w:cs="Times New Roman"/>
                <w:color w:val="000000" w:themeColor="text1"/>
              </w:rPr>
            </w:pPr>
            <w:r w:rsidRPr="0041206F">
              <w:rPr>
                <w:rFonts w:ascii="Times New Roman" w:hAnsi="Times New Roman" w:cs="Times New Roman"/>
                <w:color w:val="000000" w:themeColor="text1"/>
              </w:rPr>
              <w:t>Registro de afiliados, beneficiarios, novedades (traslados, retiros) y validación de derechos.</w:t>
            </w:r>
          </w:p>
        </w:tc>
        <w:tc>
          <w:tcPr>
            <w:tcW w:w="3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4999EC" w14:textId="77777777" w:rsidR="00F67722" w:rsidRPr="0041206F" w:rsidRDefault="00000000">
            <w:pPr>
              <w:rPr>
                <w:rFonts w:ascii="Times New Roman" w:hAnsi="Times New Roman" w:cs="Times New Roman"/>
                <w:color w:val="000000" w:themeColor="text1"/>
              </w:rPr>
            </w:pPr>
            <w:r w:rsidRPr="0041206F">
              <w:rPr>
                <w:rFonts w:ascii="Times New Roman" w:hAnsi="Times New Roman" w:cs="Times New Roman"/>
                <w:color w:val="000000" w:themeColor="text1"/>
              </w:rPr>
              <w:t>ADRES / RUAF, BD Afiliados</w:t>
            </w:r>
          </w:p>
        </w:tc>
      </w:tr>
      <w:tr w:rsidR="00F67722" w:rsidRPr="0041206F" w14:paraId="7E00F84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17BE4D" w14:textId="77777777" w:rsidR="00F67722" w:rsidRPr="0041206F" w:rsidRDefault="00000000">
            <w:pPr>
              <w:rPr>
                <w:rFonts w:ascii="Times New Roman" w:hAnsi="Times New Roman" w:cs="Times New Roman"/>
                <w:color w:val="000000" w:themeColor="text1"/>
              </w:rPr>
            </w:pPr>
            <w:r w:rsidRPr="0041206F">
              <w:rPr>
                <w:rFonts w:ascii="Times New Roman" w:hAnsi="Times New Roman" w:cs="Times New Roman"/>
                <w:color w:val="000000" w:themeColor="text1"/>
              </w:rPr>
              <w:t>Citas Médicas</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EC3FED" w14:textId="77777777" w:rsidR="00F67722" w:rsidRPr="0041206F" w:rsidRDefault="00000000">
            <w:pPr>
              <w:rPr>
                <w:rFonts w:ascii="Times New Roman" w:hAnsi="Times New Roman" w:cs="Times New Roman"/>
                <w:color w:val="000000" w:themeColor="text1"/>
              </w:rPr>
            </w:pPr>
            <w:r w:rsidRPr="0041206F">
              <w:rPr>
                <w:rFonts w:ascii="Times New Roman" w:hAnsi="Times New Roman" w:cs="Times New Roman"/>
                <w:color w:val="000000" w:themeColor="text1"/>
              </w:rPr>
              <w:t>Agendamiento, reprogramación y cancelación de citas con la red de IPS.</w:t>
            </w:r>
          </w:p>
        </w:tc>
        <w:tc>
          <w:tcPr>
            <w:tcW w:w="3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5D4A88" w14:textId="77777777" w:rsidR="00F67722" w:rsidRPr="0041206F" w:rsidRDefault="00000000">
            <w:pPr>
              <w:rPr>
                <w:rFonts w:ascii="Times New Roman" w:hAnsi="Times New Roman" w:cs="Times New Roman"/>
                <w:color w:val="000000" w:themeColor="text1"/>
              </w:rPr>
            </w:pPr>
            <w:r w:rsidRPr="0041206F">
              <w:rPr>
                <w:rFonts w:ascii="Times New Roman" w:hAnsi="Times New Roman" w:cs="Times New Roman"/>
                <w:color w:val="000000" w:themeColor="text1"/>
              </w:rPr>
              <w:t>BD Citas, Notificaciones</w:t>
            </w:r>
          </w:p>
        </w:tc>
      </w:tr>
      <w:tr w:rsidR="00F67722" w:rsidRPr="0041206F" w14:paraId="4BE9311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42AB52" w14:textId="77777777" w:rsidR="00F67722" w:rsidRPr="0041206F" w:rsidRDefault="00000000">
            <w:pPr>
              <w:rPr>
                <w:rFonts w:ascii="Times New Roman" w:hAnsi="Times New Roman" w:cs="Times New Roman"/>
                <w:color w:val="000000" w:themeColor="text1"/>
              </w:rPr>
            </w:pPr>
            <w:r w:rsidRPr="0041206F">
              <w:rPr>
                <w:rFonts w:ascii="Times New Roman" w:hAnsi="Times New Roman" w:cs="Times New Roman"/>
                <w:color w:val="000000" w:themeColor="text1"/>
              </w:rPr>
              <w:t>Historia Clínica</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B31A51" w14:textId="77777777" w:rsidR="00F67722" w:rsidRPr="0041206F" w:rsidRDefault="00000000">
            <w:pPr>
              <w:rPr>
                <w:rFonts w:ascii="Times New Roman" w:hAnsi="Times New Roman" w:cs="Times New Roman"/>
                <w:color w:val="000000" w:themeColor="text1"/>
              </w:rPr>
            </w:pPr>
            <w:r w:rsidRPr="0041206F">
              <w:rPr>
                <w:rFonts w:ascii="Times New Roman" w:hAnsi="Times New Roman" w:cs="Times New Roman"/>
                <w:color w:val="000000" w:themeColor="text1"/>
              </w:rPr>
              <w:t>Consulta y registro de atenciones, diagnósticos y resultados del paciente.</w:t>
            </w:r>
          </w:p>
        </w:tc>
        <w:tc>
          <w:tcPr>
            <w:tcW w:w="3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0571BC" w14:textId="77777777" w:rsidR="00F67722" w:rsidRPr="0041206F" w:rsidRDefault="00000000">
            <w:pPr>
              <w:rPr>
                <w:rFonts w:ascii="Times New Roman" w:hAnsi="Times New Roman" w:cs="Times New Roman"/>
                <w:color w:val="000000" w:themeColor="text1"/>
              </w:rPr>
            </w:pPr>
            <w:r w:rsidRPr="0041206F">
              <w:rPr>
                <w:rFonts w:ascii="Times New Roman" w:hAnsi="Times New Roman" w:cs="Times New Roman"/>
                <w:color w:val="000000" w:themeColor="text1"/>
              </w:rPr>
              <w:t>BD Clínica (datos sensibles cifrados)</w:t>
            </w:r>
          </w:p>
        </w:tc>
      </w:tr>
      <w:tr w:rsidR="00F67722" w:rsidRPr="0041206F" w14:paraId="798086D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0DC3A8" w14:textId="77777777" w:rsidR="00F67722" w:rsidRPr="0041206F" w:rsidRDefault="00000000">
            <w:pPr>
              <w:rPr>
                <w:rFonts w:ascii="Times New Roman" w:hAnsi="Times New Roman" w:cs="Times New Roman"/>
                <w:color w:val="000000" w:themeColor="text1"/>
              </w:rPr>
            </w:pPr>
            <w:r w:rsidRPr="0041206F">
              <w:rPr>
                <w:rFonts w:ascii="Times New Roman" w:hAnsi="Times New Roman" w:cs="Times New Roman"/>
                <w:color w:val="000000" w:themeColor="text1"/>
              </w:rPr>
              <w:t>Autorizaciones</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17DE9F" w14:textId="77777777" w:rsidR="00F67722" w:rsidRPr="0041206F" w:rsidRDefault="00000000">
            <w:pPr>
              <w:rPr>
                <w:rFonts w:ascii="Times New Roman" w:hAnsi="Times New Roman" w:cs="Times New Roman"/>
                <w:color w:val="000000" w:themeColor="text1"/>
              </w:rPr>
            </w:pPr>
            <w:r w:rsidRPr="0041206F">
              <w:rPr>
                <w:rFonts w:ascii="Times New Roman" w:hAnsi="Times New Roman" w:cs="Times New Roman"/>
                <w:color w:val="000000" w:themeColor="text1"/>
              </w:rPr>
              <w:t>Aprobación de procedimientos, medicamentos y remisiones según el plan de beneficios.</w:t>
            </w:r>
          </w:p>
        </w:tc>
        <w:tc>
          <w:tcPr>
            <w:tcW w:w="3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C44463" w14:textId="77777777" w:rsidR="00F67722" w:rsidRPr="0041206F" w:rsidRDefault="00000000">
            <w:pPr>
              <w:rPr>
                <w:rFonts w:ascii="Times New Roman" w:hAnsi="Times New Roman" w:cs="Times New Roman"/>
                <w:color w:val="000000" w:themeColor="text1"/>
              </w:rPr>
            </w:pPr>
            <w:r w:rsidRPr="0041206F">
              <w:rPr>
                <w:rFonts w:ascii="Times New Roman" w:hAnsi="Times New Roman" w:cs="Times New Roman"/>
                <w:color w:val="000000" w:themeColor="text1"/>
              </w:rPr>
              <w:t>BD Autorizaciones, Afiliaciones</w:t>
            </w:r>
          </w:p>
        </w:tc>
      </w:tr>
      <w:tr w:rsidR="00F67722" w:rsidRPr="0041206F" w14:paraId="3AAA1EA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C2EB0F" w14:textId="77777777" w:rsidR="00F67722" w:rsidRPr="0041206F" w:rsidRDefault="00000000">
            <w:pPr>
              <w:rPr>
                <w:rFonts w:ascii="Times New Roman" w:hAnsi="Times New Roman" w:cs="Times New Roman"/>
                <w:color w:val="000000" w:themeColor="text1"/>
              </w:rPr>
            </w:pPr>
            <w:r w:rsidRPr="0041206F">
              <w:rPr>
                <w:rFonts w:ascii="Times New Roman" w:hAnsi="Times New Roman" w:cs="Times New Roman"/>
                <w:color w:val="000000" w:themeColor="text1"/>
              </w:rPr>
              <w:t>Facturación y Pagos</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C07465" w14:textId="77777777" w:rsidR="00F67722" w:rsidRPr="0041206F" w:rsidRDefault="00000000">
            <w:pPr>
              <w:rPr>
                <w:rFonts w:ascii="Times New Roman" w:hAnsi="Times New Roman" w:cs="Times New Roman"/>
                <w:color w:val="000000" w:themeColor="text1"/>
              </w:rPr>
            </w:pPr>
            <w:r w:rsidRPr="0041206F">
              <w:rPr>
                <w:rFonts w:ascii="Times New Roman" w:hAnsi="Times New Roman" w:cs="Times New Roman"/>
                <w:color w:val="000000" w:themeColor="text1"/>
              </w:rPr>
              <w:t>Cobro de copagos y cuotas moderadoras, facturación a IPS y conciliación.</w:t>
            </w:r>
          </w:p>
        </w:tc>
        <w:tc>
          <w:tcPr>
            <w:tcW w:w="3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3E0747" w14:textId="77777777" w:rsidR="00F67722" w:rsidRPr="0041206F" w:rsidRDefault="00000000">
            <w:pPr>
              <w:rPr>
                <w:rFonts w:ascii="Times New Roman" w:hAnsi="Times New Roman" w:cs="Times New Roman"/>
                <w:color w:val="000000" w:themeColor="text1"/>
              </w:rPr>
            </w:pPr>
            <w:r w:rsidRPr="0041206F">
              <w:rPr>
                <w:rFonts w:ascii="Times New Roman" w:hAnsi="Times New Roman" w:cs="Times New Roman"/>
                <w:color w:val="000000" w:themeColor="text1"/>
              </w:rPr>
              <w:t>Pasarela de pagos, BD Facturación</w:t>
            </w:r>
          </w:p>
        </w:tc>
      </w:tr>
      <w:tr w:rsidR="00F67722" w:rsidRPr="0041206F" w14:paraId="2095DF7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671A81" w14:textId="77777777" w:rsidR="00F67722" w:rsidRPr="0041206F" w:rsidRDefault="00000000">
            <w:pPr>
              <w:rPr>
                <w:rFonts w:ascii="Times New Roman" w:hAnsi="Times New Roman" w:cs="Times New Roman"/>
                <w:color w:val="000000" w:themeColor="text1"/>
              </w:rPr>
            </w:pPr>
            <w:r w:rsidRPr="0041206F">
              <w:rPr>
                <w:rFonts w:ascii="Times New Roman" w:hAnsi="Times New Roman" w:cs="Times New Roman"/>
                <w:color w:val="000000" w:themeColor="text1"/>
              </w:rPr>
              <w:t>Notificaciones</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7089ED" w14:textId="77777777" w:rsidR="00F67722" w:rsidRPr="0041206F" w:rsidRDefault="00000000">
            <w:pPr>
              <w:rPr>
                <w:rFonts w:ascii="Times New Roman" w:hAnsi="Times New Roman" w:cs="Times New Roman"/>
                <w:color w:val="000000" w:themeColor="text1"/>
              </w:rPr>
            </w:pPr>
            <w:r w:rsidRPr="0041206F">
              <w:rPr>
                <w:rFonts w:ascii="Times New Roman" w:hAnsi="Times New Roman" w:cs="Times New Roman"/>
                <w:color w:val="000000" w:themeColor="text1"/>
              </w:rPr>
              <w:t xml:space="preserve">Envío de correos, SMS y notificaciones </w:t>
            </w:r>
            <w:proofErr w:type="spellStart"/>
            <w:r w:rsidRPr="0041206F">
              <w:rPr>
                <w:rFonts w:ascii="Times New Roman" w:hAnsi="Times New Roman" w:cs="Times New Roman"/>
                <w:color w:val="000000" w:themeColor="text1"/>
              </w:rPr>
              <w:t>push</w:t>
            </w:r>
            <w:proofErr w:type="spellEnd"/>
            <w:r w:rsidRPr="0041206F">
              <w:rPr>
                <w:rFonts w:ascii="Times New Roman" w:hAnsi="Times New Roman" w:cs="Times New Roman"/>
                <w:color w:val="000000" w:themeColor="text1"/>
              </w:rPr>
              <w:t xml:space="preserve"> a partir de eventos del sistema.</w:t>
            </w:r>
          </w:p>
        </w:tc>
        <w:tc>
          <w:tcPr>
            <w:tcW w:w="3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681260" w14:textId="77777777" w:rsidR="00F67722" w:rsidRPr="0041206F" w:rsidRDefault="00000000">
            <w:pPr>
              <w:rPr>
                <w:rFonts w:ascii="Times New Roman" w:hAnsi="Times New Roman" w:cs="Times New Roman"/>
                <w:color w:val="000000" w:themeColor="text1"/>
              </w:rPr>
            </w:pPr>
            <w:r w:rsidRPr="0041206F">
              <w:rPr>
                <w:rFonts w:ascii="Times New Roman" w:hAnsi="Times New Roman" w:cs="Times New Roman"/>
                <w:color w:val="000000" w:themeColor="text1"/>
              </w:rPr>
              <w:t>Bus de eventos, Email/SMS</w:t>
            </w:r>
          </w:p>
        </w:tc>
      </w:tr>
    </w:tbl>
    <w:p w14:paraId="30A9C17A" w14:textId="77777777" w:rsidR="00F67722" w:rsidRPr="0041206F" w:rsidRDefault="00F67722">
      <w:pPr>
        <w:spacing w:after="120"/>
        <w:rPr>
          <w:rFonts w:ascii="Times New Roman" w:hAnsi="Times New Roman" w:cs="Times New Roman"/>
          <w:color w:val="000000" w:themeColor="text1"/>
        </w:rPr>
      </w:pPr>
    </w:p>
    <w:p w14:paraId="7B702D79" w14:textId="77777777" w:rsidR="00F67722" w:rsidRPr="0041206F" w:rsidRDefault="00000000">
      <w:pPr>
        <w:pStyle w:val="Ttulo2"/>
        <w:rPr>
          <w:rFonts w:ascii="Times New Roman" w:hAnsi="Times New Roman" w:cs="Times New Roman"/>
          <w:color w:val="000000" w:themeColor="text1"/>
        </w:rPr>
      </w:pPr>
      <w:r w:rsidRPr="0041206F">
        <w:rPr>
          <w:rFonts w:ascii="Times New Roman" w:hAnsi="Times New Roman" w:cs="Times New Roman"/>
          <w:color w:val="000000" w:themeColor="text1"/>
        </w:rPr>
        <w:t>2.3 Comunicación entre servicios</w:t>
      </w:r>
    </w:p>
    <w:p w14:paraId="198D7817" w14:textId="77777777" w:rsidR="00F67722" w:rsidRPr="0041206F" w:rsidRDefault="00000000">
      <w:pPr>
        <w:spacing w:after="120"/>
        <w:rPr>
          <w:rFonts w:ascii="Times New Roman" w:hAnsi="Times New Roman" w:cs="Times New Roman"/>
          <w:color w:val="000000" w:themeColor="text1"/>
        </w:rPr>
      </w:pPr>
      <w:r w:rsidRPr="0041206F">
        <w:rPr>
          <w:rFonts w:ascii="Times New Roman" w:hAnsi="Times New Roman" w:cs="Times New Roman"/>
          <w:color w:val="000000" w:themeColor="text1"/>
        </w:rPr>
        <w:t xml:space="preserve">Las consultas que requieren respuesta inmediata (por ejemplo, verificar si un afiliado está activo antes de agendar una cita) se hacen de forma síncrona vía REST a través del </w:t>
      </w:r>
      <w:proofErr w:type="spellStart"/>
      <w:r w:rsidRPr="0041206F">
        <w:rPr>
          <w:rFonts w:ascii="Times New Roman" w:hAnsi="Times New Roman" w:cs="Times New Roman"/>
          <w:color w:val="000000" w:themeColor="text1"/>
        </w:rPr>
        <w:t>gateway</w:t>
      </w:r>
      <w:proofErr w:type="spellEnd"/>
      <w:r w:rsidRPr="0041206F">
        <w:rPr>
          <w:rFonts w:ascii="Times New Roman" w:hAnsi="Times New Roman" w:cs="Times New Roman"/>
          <w:color w:val="000000" w:themeColor="text1"/>
        </w:rPr>
        <w:t xml:space="preserve"> o entre servicios.</w:t>
      </w:r>
    </w:p>
    <w:p w14:paraId="6344CADE" w14:textId="77777777" w:rsidR="00F67722" w:rsidRPr="0041206F" w:rsidRDefault="00000000">
      <w:pPr>
        <w:spacing w:after="120"/>
        <w:rPr>
          <w:rFonts w:ascii="Times New Roman" w:hAnsi="Times New Roman" w:cs="Times New Roman"/>
          <w:color w:val="000000" w:themeColor="text1"/>
        </w:rPr>
      </w:pPr>
      <w:r w:rsidRPr="0041206F">
        <w:rPr>
          <w:rFonts w:ascii="Times New Roman" w:hAnsi="Times New Roman" w:cs="Times New Roman"/>
          <w:color w:val="000000" w:themeColor="text1"/>
        </w:rPr>
        <w:t>Los procesos que no necesitan respuesta inmediata usan el bus de eventos. Por ejemplo, cuando Citas Médicas registra una cita publica el evento "</w:t>
      </w:r>
      <w:proofErr w:type="spellStart"/>
      <w:r w:rsidRPr="0041206F">
        <w:rPr>
          <w:rFonts w:ascii="Times New Roman" w:hAnsi="Times New Roman" w:cs="Times New Roman"/>
          <w:color w:val="000000" w:themeColor="text1"/>
        </w:rPr>
        <w:t>CitaAgendada</w:t>
      </w:r>
      <w:proofErr w:type="spellEnd"/>
      <w:r w:rsidRPr="0041206F">
        <w:rPr>
          <w:rFonts w:ascii="Times New Roman" w:hAnsi="Times New Roman" w:cs="Times New Roman"/>
          <w:color w:val="000000" w:themeColor="text1"/>
        </w:rPr>
        <w:t>"; Notificaciones lo consume y envía un SMS de confirmación al afiliado. Así Citas no depende de que Notificaciones esté disponible.</w:t>
      </w:r>
    </w:p>
    <w:p w14:paraId="61278F8C" w14:textId="77777777" w:rsidR="00F67722" w:rsidRPr="0041206F" w:rsidRDefault="00000000">
      <w:pPr>
        <w:pStyle w:val="Ttulo2"/>
        <w:rPr>
          <w:rFonts w:ascii="Times New Roman" w:hAnsi="Times New Roman" w:cs="Times New Roman"/>
          <w:color w:val="000000" w:themeColor="text1"/>
        </w:rPr>
      </w:pPr>
      <w:r w:rsidRPr="0041206F">
        <w:rPr>
          <w:rFonts w:ascii="Times New Roman" w:hAnsi="Times New Roman" w:cs="Times New Roman"/>
          <w:color w:val="000000" w:themeColor="text1"/>
        </w:rPr>
        <w:t>2.4 Seguridad y cumplimiento</w:t>
      </w:r>
    </w:p>
    <w:p w14:paraId="45BAD316" w14:textId="77777777" w:rsidR="00F67722" w:rsidRPr="0041206F" w:rsidRDefault="00000000">
      <w:pPr>
        <w:spacing w:after="120"/>
        <w:rPr>
          <w:rFonts w:ascii="Times New Roman" w:hAnsi="Times New Roman" w:cs="Times New Roman"/>
          <w:color w:val="000000" w:themeColor="text1"/>
        </w:rPr>
      </w:pPr>
      <w:r w:rsidRPr="0041206F">
        <w:rPr>
          <w:rFonts w:ascii="Times New Roman" w:hAnsi="Times New Roman" w:cs="Times New Roman"/>
          <w:color w:val="000000" w:themeColor="text1"/>
        </w:rPr>
        <w:t xml:space="preserve">La información de salud es un dato sensible protegido por la Ley 1581 de 2012 (Habeas Data) y la normativa de historia clínica. Por eso la arquitectura incluye autenticación centralizada con OAuth2/JWT, </w:t>
      </w:r>
      <w:r w:rsidRPr="0041206F">
        <w:rPr>
          <w:rFonts w:ascii="Times New Roman" w:hAnsi="Times New Roman" w:cs="Times New Roman"/>
          <w:color w:val="000000" w:themeColor="text1"/>
        </w:rPr>
        <w:lastRenderedPageBreak/>
        <w:t>cifrado en tránsito (HTTPS/TLS) y en reposo para la base de datos clínica, control de acceso por roles y registro de auditoría de cada consulta a la historia clínica.</w:t>
      </w:r>
    </w:p>
    <w:p w14:paraId="2B40DC0B" w14:textId="77777777" w:rsidR="00F67722" w:rsidRPr="0041206F" w:rsidRDefault="00000000">
      <w:pPr>
        <w:pStyle w:val="Ttulo2"/>
        <w:rPr>
          <w:rFonts w:ascii="Times New Roman" w:hAnsi="Times New Roman" w:cs="Times New Roman"/>
          <w:color w:val="000000" w:themeColor="text1"/>
        </w:rPr>
      </w:pPr>
      <w:r w:rsidRPr="0041206F">
        <w:rPr>
          <w:rFonts w:ascii="Times New Roman" w:hAnsi="Times New Roman" w:cs="Times New Roman"/>
          <w:color w:val="000000" w:themeColor="text1"/>
        </w:rPr>
        <w:t>2.5 Integraciones externas</w:t>
      </w:r>
    </w:p>
    <w:p w14:paraId="72465ECB" w14:textId="77777777" w:rsidR="00F67722" w:rsidRPr="0041206F" w:rsidRDefault="00000000">
      <w:pPr>
        <w:pStyle w:val="Prrafodelista"/>
        <w:numPr>
          <w:ilvl w:val="0"/>
          <w:numId w:val="2"/>
        </w:numPr>
        <w:spacing w:after="60"/>
        <w:rPr>
          <w:rFonts w:ascii="Times New Roman" w:hAnsi="Times New Roman" w:cs="Times New Roman"/>
          <w:color w:val="000000" w:themeColor="text1"/>
        </w:rPr>
      </w:pPr>
      <w:r w:rsidRPr="0041206F">
        <w:rPr>
          <w:rFonts w:ascii="Times New Roman" w:hAnsi="Times New Roman" w:cs="Times New Roman"/>
          <w:b/>
          <w:bCs/>
          <w:color w:val="000000" w:themeColor="text1"/>
        </w:rPr>
        <w:t xml:space="preserve">ADRES / RUAF: </w:t>
      </w:r>
      <w:r w:rsidRPr="0041206F">
        <w:rPr>
          <w:rFonts w:ascii="Times New Roman" w:hAnsi="Times New Roman" w:cs="Times New Roman"/>
          <w:color w:val="000000" w:themeColor="text1"/>
        </w:rPr>
        <w:t>validación del estado de afiliación en la base de datos nacional.</w:t>
      </w:r>
    </w:p>
    <w:p w14:paraId="10AF98EC" w14:textId="77777777" w:rsidR="00F67722" w:rsidRPr="0041206F" w:rsidRDefault="00000000">
      <w:pPr>
        <w:pStyle w:val="Prrafodelista"/>
        <w:numPr>
          <w:ilvl w:val="0"/>
          <w:numId w:val="2"/>
        </w:numPr>
        <w:spacing w:after="60"/>
        <w:rPr>
          <w:rFonts w:ascii="Times New Roman" w:hAnsi="Times New Roman" w:cs="Times New Roman"/>
          <w:color w:val="000000" w:themeColor="text1"/>
        </w:rPr>
      </w:pPr>
      <w:r w:rsidRPr="0041206F">
        <w:rPr>
          <w:rFonts w:ascii="Times New Roman" w:hAnsi="Times New Roman" w:cs="Times New Roman"/>
          <w:b/>
          <w:bCs/>
          <w:color w:val="000000" w:themeColor="text1"/>
        </w:rPr>
        <w:t xml:space="preserve">Pasarela de pagos: </w:t>
      </w:r>
      <w:r w:rsidRPr="0041206F">
        <w:rPr>
          <w:rFonts w:ascii="Times New Roman" w:hAnsi="Times New Roman" w:cs="Times New Roman"/>
          <w:color w:val="000000" w:themeColor="text1"/>
        </w:rPr>
        <w:t>cobro de copagos y cuotas moderadoras.</w:t>
      </w:r>
    </w:p>
    <w:p w14:paraId="3B8A3CEC" w14:textId="77777777" w:rsidR="00F67722" w:rsidRPr="0041206F" w:rsidRDefault="00000000">
      <w:pPr>
        <w:pStyle w:val="Prrafodelista"/>
        <w:numPr>
          <w:ilvl w:val="0"/>
          <w:numId w:val="2"/>
        </w:numPr>
        <w:spacing w:after="60"/>
        <w:rPr>
          <w:rFonts w:ascii="Times New Roman" w:hAnsi="Times New Roman" w:cs="Times New Roman"/>
          <w:color w:val="000000" w:themeColor="text1"/>
        </w:rPr>
      </w:pPr>
      <w:r w:rsidRPr="0041206F">
        <w:rPr>
          <w:rFonts w:ascii="Times New Roman" w:hAnsi="Times New Roman" w:cs="Times New Roman"/>
          <w:b/>
          <w:bCs/>
          <w:color w:val="000000" w:themeColor="text1"/>
        </w:rPr>
        <w:t xml:space="preserve">Proveedores de Email/SMS: </w:t>
      </w:r>
      <w:r w:rsidRPr="0041206F">
        <w:rPr>
          <w:rFonts w:ascii="Times New Roman" w:hAnsi="Times New Roman" w:cs="Times New Roman"/>
          <w:color w:val="000000" w:themeColor="text1"/>
        </w:rPr>
        <w:t>envío de recordatorios y notificaciones.</w:t>
      </w:r>
    </w:p>
    <w:p w14:paraId="41500380" w14:textId="77777777" w:rsidR="00F67722" w:rsidRPr="0041206F" w:rsidRDefault="00000000">
      <w:pPr>
        <w:pStyle w:val="Ttulo1"/>
        <w:rPr>
          <w:rFonts w:ascii="Times New Roman" w:hAnsi="Times New Roman" w:cs="Times New Roman"/>
          <w:color w:val="000000" w:themeColor="text1"/>
        </w:rPr>
      </w:pPr>
      <w:r w:rsidRPr="0041206F">
        <w:rPr>
          <w:rFonts w:ascii="Times New Roman" w:hAnsi="Times New Roman" w:cs="Times New Roman"/>
          <w:color w:val="000000" w:themeColor="text1"/>
        </w:rPr>
        <w:t>3. Diagrama de la arquitectura</w:t>
      </w:r>
    </w:p>
    <w:p w14:paraId="35A31034" w14:textId="77777777" w:rsidR="00F67722" w:rsidRPr="0041206F" w:rsidRDefault="00000000">
      <w:pPr>
        <w:spacing w:after="120"/>
        <w:rPr>
          <w:rFonts w:ascii="Times New Roman" w:hAnsi="Times New Roman" w:cs="Times New Roman"/>
          <w:color w:val="000000" w:themeColor="text1"/>
        </w:rPr>
      </w:pPr>
      <w:r w:rsidRPr="0041206F">
        <w:rPr>
          <w:rFonts w:ascii="Times New Roman" w:hAnsi="Times New Roman" w:cs="Times New Roman"/>
          <w:color w:val="000000" w:themeColor="text1"/>
        </w:rPr>
        <w:t xml:space="preserve">El siguiente diagrama resume la arquitectura propuesta. El código fuente en </w:t>
      </w:r>
      <w:proofErr w:type="spellStart"/>
      <w:r w:rsidRPr="0041206F">
        <w:rPr>
          <w:rFonts w:ascii="Times New Roman" w:hAnsi="Times New Roman" w:cs="Times New Roman"/>
          <w:color w:val="000000" w:themeColor="text1"/>
        </w:rPr>
        <w:t>PlantUML</w:t>
      </w:r>
      <w:proofErr w:type="spellEnd"/>
      <w:r w:rsidRPr="0041206F">
        <w:rPr>
          <w:rFonts w:ascii="Times New Roman" w:hAnsi="Times New Roman" w:cs="Times New Roman"/>
          <w:color w:val="000000" w:themeColor="text1"/>
        </w:rPr>
        <w:t xml:space="preserve"> se encuentra en el archivo </w:t>
      </w:r>
      <w:proofErr w:type="spellStart"/>
      <w:r w:rsidRPr="0041206F">
        <w:rPr>
          <w:rFonts w:ascii="Times New Roman" w:hAnsi="Times New Roman" w:cs="Times New Roman"/>
          <w:color w:val="000000" w:themeColor="text1"/>
        </w:rPr>
        <w:t>Docs</w:t>
      </w:r>
      <w:proofErr w:type="spellEnd"/>
      <w:r w:rsidRPr="0041206F">
        <w:rPr>
          <w:rFonts w:ascii="Times New Roman" w:hAnsi="Times New Roman" w:cs="Times New Roman"/>
          <w:color w:val="000000" w:themeColor="text1"/>
        </w:rPr>
        <w:t>/</w:t>
      </w:r>
      <w:proofErr w:type="spellStart"/>
      <w:r w:rsidRPr="0041206F">
        <w:rPr>
          <w:rFonts w:ascii="Times New Roman" w:hAnsi="Times New Roman" w:cs="Times New Roman"/>
          <w:color w:val="000000" w:themeColor="text1"/>
        </w:rPr>
        <w:t>Arquitectura_EPS.puml</w:t>
      </w:r>
      <w:proofErr w:type="spellEnd"/>
      <w:r w:rsidRPr="0041206F">
        <w:rPr>
          <w:rFonts w:ascii="Times New Roman" w:hAnsi="Times New Roman" w:cs="Times New Roman"/>
          <w:color w:val="000000" w:themeColor="text1"/>
        </w:rPr>
        <w:t xml:space="preserve"> del repositorio.</w:t>
      </w:r>
    </w:p>
    <w:p w14:paraId="4BB17867" w14:textId="77777777" w:rsidR="00F67722" w:rsidRPr="0041206F" w:rsidRDefault="00000000">
      <w:pPr>
        <w:jc w:val="center"/>
        <w:rPr>
          <w:rFonts w:ascii="Times New Roman" w:hAnsi="Times New Roman" w:cs="Times New Roman"/>
          <w:color w:val="000000" w:themeColor="text1"/>
        </w:rPr>
      </w:pPr>
      <w:r w:rsidRPr="0041206F">
        <w:rPr>
          <w:rFonts w:ascii="Times New Roman" w:hAnsi="Times New Roman" w:cs="Times New Roman"/>
          <w:noProof/>
          <w:color w:val="000000" w:themeColor="text1"/>
        </w:rPr>
        <w:drawing>
          <wp:inline distT="0" distB="0" distL="0" distR="0" wp14:anchorId="13D51173" wp14:editId="700B288A">
            <wp:extent cx="5905500" cy="4286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4286250"/>
                    </a:xfrm>
                    <a:prstGeom prst="rect">
                      <a:avLst/>
                    </a:prstGeom>
                  </pic:spPr>
                </pic:pic>
              </a:graphicData>
            </a:graphic>
          </wp:inline>
        </w:drawing>
      </w:r>
    </w:p>
    <w:p w14:paraId="7264D544" w14:textId="77777777" w:rsidR="00F67722" w:rsidRPr="0041206F" w:rsidRDefault="00000000">
      <w:pPr>
        <w:spacing w:after="200"/>
        <w:jc w:val="center"/>
        <w:rPr>
          <w:rFonts w:ascii="Times New Roman" w:hAnsi="Times New Roman" w:cs="Times New Roman"/>
          <w:color w:val="000000" w:themeColor="text1"/>
        </w:rPr>
      </w:pPr>
      <w:r w:rsidRPr="0041206F">
        <w:rPr>
          <w:rFonts w:ascii="Times New Roman" w:hAnsi="Times New Roman" w:cs="Times New Roman"/>
          <w:i/>
          <w:iCs/>
          <w:color w:val="000000" w:themeColor="text1"/>
          <w:sz w:val="18"/>
          <w:szCs w:val="18"/>
        </w:rPr>
        <w:t>Figura 1. Arquitectura de microservicios para una EPS</w:t>
      </w:r>
    </w:p>
    <w:p w14:paraId="21568758" w14:textId="77777777" w:rsidR="00F67722" w:rsidRPr="0041206F" w:rsidRDefault="00000000">
      <w:pPr>
        <w:pStyle w:val="Ttulo1"/>
        <w:rPr>
          <w:rFonts w:ascii="Times New Roman" w:hAnsi="Times New Roman" w:cs="Times New Roman"/>
          <w:color w:val="000000" w:themeColor="text1"/>
        </w:rPr>
      </w:pPr>
      <w:r w:rsidRPr="0041206F">
        <w:rPr>
          <w:rFonts w:ascii="Times New Roman" w:hAnsi="Times New Roman" w:cs="Times New Roman"/>
          <w:color w:val="000000" w:themeColor="text1"/>
        </w:rPr>
        <w:t>4. Conclusión</w:t>
      </w:r>
    </w:p>
    <w:p w14:paraId="0F92F531" w14:textId="77777777" w:rsidR="00F67722" w:rsidRPr="0041206F" w:rsidRDefault="00000000">
      <w:pPr>
        <w:spacing w:after="120"/>
        <w:rPr>
          <w:rFonts w:ascii="Times New Roman" w:hAnsi="Times New Roman" w:cs="Times New Roman"/>
          <w:color w:val="000000" w:themeColor="text1"/>
        </w:rPr>
      </w:pPr>
      <w:r w:rsidRPr="0041206F">
        <w:rPr>
          <w:rFonts w:ascii="Times New Roman" w:hAnsi="Times New Roman" w:cs="Times New Roman"/>
          <w:color w:val="000000" w:themeColor="text1"/>
        </w:rPr>
        <w:t>Separar la EPS en microservicios permite escalar de forma independiente los módulos con más demanda (como citas en horas pico), aislar los datos clínicos sensibles, actualizar cada módulo sin detener todo el sistema e integrar fácilmente nuevos canales o entidades externas. A cambio, exige una buena infraestructura de contenedores, monitoreo y gestión de eventos.</w:t>
      </w:r>
    </w:p>
    <w:sectPr w:rsidR="00F67722" w:rsidRPr="0041206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B3EDF"/>
    <w:multiLevelType w:val="hybridMultilevel"/>
    <w:tmpl w:val="7046AE42"/>
    <w:lvl w:ilvl="0" w:tplc="A86CCBB6">
      <w:start w:val="1"/>
      <w:numFmt w:val="bullet"/>
      <w:lvlText w:val="•"/>
      <w:lvlJc w:val="left"/>
      <w:pPr>
        <w:ind w:left="720" w:hanging="360"/>
      </w:pPr>
    </w:lvl>
    <w:lvl w:ilvl="1" w:tplc="9FB2E55E">
      <w:numFmt w:val="decimal"/>
      <w:lvlText w:val=""/>
      <w:lvlJc w:val="left"/>
    </w:lvl>
    <w:lvl w:ilvl="2" w:tplc="DF8A4CCC">
      <w:numFmt w:val="decimal"/>
      <w:lvlText w:val=""/>
      <w:lvlJc w:val="left"/>
    </w:lvl>
    <w:lvl w:ilvl="3" w:tplc="87320350">
      <w:numFmt w:val="decimal"/>
      <w:lvlText w:val=""/>
      <w:lvlJc w:val="left"/>
    </w:lvl>
    <w:lvl w:ilvl="4" w:tplc="7646F746">
      <w:numFmt w:val="decimal"/>
      <w:lvlText w:val=""/>
      <w:lvlJc w:val="left"/>
    </w:lvl>
    <w:lvl w:ilvl="5" w:tplc="E99EDEEE">
      <w:numFmt w:val="decimal"/>
      <w:lvlText w:val=""/>
      <w:lvlJc w:val="left"/>
    </w:lvl>
    <w:lvl w:ilvl="6" w:tplc="F8A8E37C">
      <w:numFmt w:val="decimal"/>
      <w:lvlText w:val=""/>
      <w:lvlJc w:val="left"/>
    </w:lvl>
    <w:lvl w:ilvl="7" w:tplc="A82E7EC0">
      <w:numFmt w:val="decimal"/>
      <w:lvlText w:val=""/>
      <w:lvlJc w:val="left"/>
    </w:lvl>
    <w:lvl w:ilvl="8" w:tplc="EBBE66EE">
      <w:numFmt w:val="decimal"/>
      <w:lvlText w:val=""/>
      <w:lvlJc w:val="left"/>
    </w:lvl>
  </w:abstractNum>
  <w:abstractNum w:abstractNumId="1" w15:restartNumberingAfterBreak="0">
    <w:nsid w:val="7382209D"/>
    <w:multiLevelType w:val="hybridMultilevel"/>
    <w:tmpl w:val="CDEEC2C2"/>
    <w:lvl w:ilvl="0" w:tplc="2C08922A">
      <w:start w:val="1"/>
      <w:numFmt w:val="bullet"/>
      <w:lvlText w:val="●"/>
      <w:lvlJc w:val="left"/>
      <w:pPr>
        <w:ind w:left="720" w:hanging="360"/>
      </w:pPr>
    </w:lvl>
    <w:lvl w:ilvl="1" w:tplc="E0AEFB0C">
      <w:start w:val="1"/>
      <w:numFmt w:val="bullet"/>
      <w:lvlText w:val="○"/>
      <w:lvlJc w:val="left"/>
      <w:pPr>
        <w:ind w:left="1440" w:hanging="360"/>
      </w:pPr>
    </w:lvl>
    <w:lvl w:ilvl="2" w:tplc="C576D958">
      <w:start w:val="1"/>
      <w:numFmt w:val="bullet"/>
      <w:lvlText w:val="■"/>
      <w:lvlJc w:val="left"/>
      <w:pPr>
        <w:ind w:left="2160" w:hanging="360"/>
      </w:pPr>
    </w:lvl>
    <w:lvl w:ilvl="3" w:tplc="B7861E38">
      <w:start w:val="1"/>
      <w:numFmt w:val="bullet"/>
      <w:lvlText w:val="●"/>
      <w:lvlJc w:val="left"/>
      <w:pPr>
        <w:ind w:left="2880" w:hanging="360"/>
      </w:pPr>
    </w:lvl>
    <w:lvl w:ilvl="4" w:tplc="8B6AD8BE">
      <w:start w:val="1"/>
      <w:numFmt w:val="bullet"/>
      <w:lvlText w:val="○"/>
      <w:lvlJc w:val="left"/>
      <w:pPr>
        <w:ind w:left="3600" w:hanging="360"/>
      </w:pPr>
    </w:lvl>
    <w:lvl w:ilvl="5" w:tplc="851C22CE">
      <w:start w:val="1"/>
      <w:numFmt w:val="bullet"/>
      <w:lvlText w:val="■"/>
      <w:lvlJc w:val="left"/>
      <w:pPr>
        <w:ind w:left="4320" w:hanging="360"/>
      </w:pPr>
    </w:lvl>
    <w:lvl w:ilvl="6" w:tplc="A00C7032">
      <w:start w:val="1"/>
      <w:numFmt w:val="bullet"/>
      <w:lvlText w:val="●"/>
      <w:lvlJc w:val="left"/>
      <w:pPr>
        <w:ind w:left="5040" w:hanging="360"/>
      </w:pPr>
    </w:lvl>
    <w:lvl w:ilvl="7" w:tplc="BB262400">
      <w:start w:val="1"/>
      <w:numFmt w:val="bullet"/>
      <w:lvlText w:val="●"/>
      <w:lvlJc w:val="left"/>
      <w:pPr>
        <w:ind w:left="5760" w:hanging="360"/>
      </w:pPr>
    </w:lvl>
    <w:lvl w:ilvl="8" w:tplc="808AB234">
      <w:start w:val="1"/>
      <w:numFmt w:val="bullet"/>
      <w:lvlText w:val="●"/>
      <w:lvlJc w:val="left"/>
      <w:pPr>
        <w:ind w:left="6480" w:hanging="360"/>
      </w:pPr>
    </w:lvl>
  </w:abstractNum>
  <w:num w:numId="1" w16cid:durableId="912356560">
    <w:abstractNumId w:val="1"/>
    <w:lvlOverride w:ilvl="0">
      <w:startOverride w:val="1"/>
    </w:lvlOverride>
  </w:num>
  <w:num w:numId="2" w16cid:durableId="9856900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722"/>
    <w:rsid w:val="0041206F"/>
    <w:rsid w:val="006871DD"/>
    <w:rsid w:val="00F677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7BF34046"/>
  <w15:docId w15:val="{627655F5-97AE-9844-A336-0974A2880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40"/>
      <w:outlineLvl w:val="0"/>
    </w:pPr>
    <w:rPr>
      <w:b/>
      <w:bCs/>
      <w:color w:val="1F3864"/>
      <w:sz w:val="30"/>
      <w:szCs w:val="30"/>
    </w:rPr>
  </w:style>
  <w:style w:type="paragraph" w:styleId="Ttulo2">
    <w:name w:val="heading 2"/>
    <w:uiPriority w:val="9"/>
    <w:unhideWhenUsed/>
    <w:qFormat/>
    <w:pPr>
      <w:spacing w:before="200" w:after="100"/>
      <w:outlineLvl w:val="1"/>
    </w:pPr>
    <w:rPr>
      <w:b/>
      <w:bCs/>
      <w:color w:val="2F5496"/>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929</Words>
  <Characters>5113</Characters>
  <Application>Microsoft Office Word</Application>
  <DocSecurity>0</DocSecurity>
  <Lines>42</Lines>
  <Paragraphs>12</Paragraphs>
  <ScaleCrop>false</ScaleCrop>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David Montero Lasso</cp:lastModifiedBy>
  <cp:revision>2</cp:revision>
  <dcterms:created xsi:type="dcterms:W3CDTF">2026-09-23T21:33:00Z</dcterms:created>
  <dcterms:modified xsi:type="dcterms:W3CDTF">2026-09-23T21:43:00Z</dcterms:modified>
</cp:coreProperties>
</file>