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531DB2" w:rsidRDefault="00907514" w:rsidP="00470DC2"/>
    <w:p w14:paraId="4D7B625B" w14:textId="77777777" w:rsidR="00907514" w:rsidRPr="00531DB2" w:rsidRDefault="00907514" w:rsidP="00470DC2"/>
    <w:p w14:paraId="6C5C53A4" w14:textId="77777777" w:rsidR="00907514" w:rsidRPr="00531DB2" w:rsidRDefault="00907514" w:rsidP="00470DC2">
      <w:pPr>
        <w:pStyle w:val="Sinespaciado"/>
      </w:pPr>
    </w:p>
    <w:p w14:paraId="23EE1B01" w14:textId="4F78116B" w:rsidR="000C1FED" w:rsidRPr="00531DB2" w:rsidRDefault="00227F14" w:rsidP="00470DC2">
      <w:pPr>
        <w:pStyle w:val="Sinespaciado"/>
      </w:pPr>
      <w:r w:rsidRPr="00531DB2">
        <w:t>Exploración y visualización de datos para lo socioeconómico</w:t>
      </w:r>
    </w:p>
    <w:p w14:paraId="3D7541D5" w14:textId="4C412584" w:rsidR="001F3395" w:rsidRPr="00531DB2" w:rsidRDefault="00227F14" w:rsidP="00470DC2">
      <w:pPr>
        <w:pStyle w:val="Sinespaciado"/>
      </w:pPr>
      <w:r w:rsidRPr="00531DB2">
        <w:t>Miguel Andrés Garzón</w:t>
      </w:r>
    </w:p>
    <w:p w14:paraId="1A355937" w14:textId="77777777" w:rsidR="000575EF" w:rsidRPr="00531DB2" w:rsidRDefault="000575EF" w:rsidP="00470DC2"/>
    <w:p w14:paraId="6F7E957A" w14:textId="77777777" w:rsidR="000575EF" w:rsidRPr="00531DB2" w:rsidRDefault="000575EF" w:rsidP="00470DC2"/>
    <w:p w14:paraId="42DFD372" w14:textId="77777777" w:rsidR="000575EF" w:rsidRPr="00531DB2" w:rsidRDefault="000575EF" w:rsidP="00470DC2"/>
    <w:p w14:paraId="17D7EFB1" w14:textId="77777777" w:rsidR="007D3FE7" w:rsidRPr="00531DB2"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531DB2"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531DB2" w:rsidRDefault="00D9377F" w:rsidP="00470DC2">
            <w:pPr>
              <w:jc w:val="center"/>
            </w:pPr>
            <w:r w:rsidRPr="00531DB2">
              <w:rPr>
                <w:rStyle w:val="nfasisintenso"/>
                <w:sz w:val="24"/>
                <w:szCs w:val="24"/>
              </w:rPr>
              <w:t xml:space="preserve">Proyecto 1: </w:t>
            </w:r>
            <w:r w:rsidRPr="00531DB2">
              <w:rPr>
                <w:rStyle w:val="nfasisintenso"/>
                <w:b w:val="0"/>
                <w:bCs w:val="0"/>
                <w:sz w:val="24"/>
                <w:szCs w:val="24"/>
              </w:rPr>
              <w:t>EDA, visualización y estadística para respaldar hipótesis</w:t>
            </w:r>
            <w:r w:rsidR="00D7501A" w:rsidRPr="00531DB2">
              <w:rPr>
                <w:rStyle w:val="Refdenotaalpie"/>
                <w:b/>
                <w:bCs/>
              </w:rPr>
              <w:footnoteReference w:id="1"/>
            </w:r>
          </w:p>
        </w:tc>
      </w:tr>
    </w:tbl>
    <w:p w14:paraId="0B407283" w14:textId="77777777" w:rsidR="000C1FED" w:rsidRPr="00531DB2" w:rsidRDefault="000C1FED" w:rsidP="00470DC2"/>
    <w:p w14:paraId="53C35468" w14:textId="0E0A22E1" w:rsidR="00D1144D" w:rsidRPr="00531DB2" w:rsidRDefault="00D1144D" w:rsidP="00470DC2"/>
    <w:p w14:paraId="35E8BA47" w14:textId="77777777" w:rsidR="00470DC2" w:rsidRPr="00531DB2" w:rsidRDefault="00470DC2" w:rsidP="00470DC2"/>
    <w:p w14:paraId="56505E86" w14:textId="77777777" w:rsidR="00D1144D" w:rsidRPr="00531DB2" w:rsidRDefault="00D1144D" w:rsidP="00470DC2"/>
    <w:p w14:paraId="66F0B4BB" w14:textId="3C3EF389" w:rsidR="000C1FED" w:rsidRPr="00531DB2" w:rsidRDefault="000C1FED" w:rsidP="00470DC2">
      <w:pPr>
        <w:pStyle w:val="Sinespaciado"/>
        <w:spacing w:beforeAutospacing="0" w:afterAutospacing="0"/>
        <w:rPr>
          <w:b/>
          <w:bCs/>
        </w:rPr>
      </w:pPr>
      <w:r w:rsidRPr="00531DB2">
        <w:rPr>
          <w:b/>
          <w:bCs/>
        </w:rPr>
        <w:t>ELABORADO POR:</w:t>
      </w:r>
    </w:p>
    <w:p w14:paraId="50A2D078" w14:textId="56119C05" w:rsidR="000C1FED" w:rsidRPr="00531DB2" w:rsidRDefault="00FE7C3E" w:rsidP="00470DC2">
      <w:pPr>
        <w:pStyle w:val="Sinespaciado"/>
        <w:spacing w:beforeAutospacing="0" w:afterAutospacing="0"/>
      </w:pPr>
      <w:r w:rsidRPr="00531DB2">
        <w:t xml:space="preserve">Laura Sarif Rivera </w:t>
      </w:r>
      <w:r w:rsidR="006D6E0C" w:rsidRPr="00531DB2">
        <w:t>Sanabria</w:t>
      </w:r>
    </w:p>
    <w:p w14:paraId="433A24C2" w14:textId="7C9B5011" w:rsidR="002B4498" w:rsidRPr="00531DB2" w:rsidRDefault="00FE7C3E" w:rsidP="00470DC2">
      <w:pPr>
        <w:pStyle w:val="Sinespaciado"/>
        <w:spacing w:beforeAutospacing="0" w:afterAutospacing="0"/>
      </w:pPr>
      <w:r w:rsidRPr="00531DB2">
        <w:t>María Camila Caraballo</w:t>
      </w:r>
      <w:r w:rsidR="006D6E0C" w:rsidRPr="00531DB2">
        <w:t xml:space="preserve"> Candela</w:t>
      </w:r>
    </w:p>
    <w:p w14:paraId="7F38A992" w14:textId="6D5B9DB9" w:rsidR="00D1144D" w:rsidRPr="00531DB2" w:rsidRDefault="00FE7C3E" w:rsidP="00470DC2">
      <w:pPr>
        <w:pStyle w:val="Sinespaciado"/>
        <w:spacing w:beforeAutospacing="0" w:afterAutospacing="0"/>
      </w:pPr>
      <w:r w:rsidRPr="00531DB2">
        <w:t xml:space="preserve">Javier Antonio Amaya </w:t>
      </w:r>
      <w:r w:rsidR="006D6E0C" w:rsidRPr="00531DB2">
        <w:t>Nieto</w:t>
      </w:r>
    </w:p>
    <w:p w14:paraId="03E19A46" w14:textId="2D2442FB" w:rsidR="00470DC2" w:rsidRPr="00531DB2" w:rsidRDefault="00470DC2">
      <w:pPr>
        <w:spacing w:before="0" w:beforeAutospacing="0" w:after="160" w:afterAutospacing="0" w:line="259" w:lineRule="auto"/>
        <w:jc w:val="left"/>
      </w:pPr>
      <w:r w:rsidRPr="00531DB2">
        <w:br w:type="page"/>
      </w:r>
    </w:p>
    <w:p w14:paraId="114C44FA" w14:textId="7DF24403" w:rsidR="001B23E7" w:rsidRPr="00531DB2" w:rsidRDefault="001B23E7" w:rsidP="00470DC2">
      <w:pPr>
        <w:rPr>
          <w:b/>
          <w:bCs/>
        </w:rPr>
      </w:pPr>
      <w:r w:rsidRPr="00531DB2">
        <w:rPr>
          <w:b/>
          <w:bCs/>
        </w:rPr>
        <w:lastRenderedPageBreak/>
        <w:t>Enunciado del taller</w:t>
      </w:r>
      <w:r w:rsidR="00674F89" w:rsidRPr="00531DB2">
        <w:rPr>
          <w:b/>
          <w:bCs/>
        </w:rPr>
        <w:t>- s</w:t>
      </w:r>
      <w:r w:rsidRPr="00531DB2">
        <w:rPr>
          <w:b/>
          <w:bCs/>
        </w:rPr>
        <w:t>ituación</w:t>
      </w:r>
    </w:p>
    <w:p w14:paraId="7E92D813" w14:textId="77777777" w:rsidR="00D9377F" w:rsidRPr="00531DB2" w:rsidRDefault="00D9377F" w:rsidP="00D9377F">
      <w:r w:rsidRPr="00531DB2">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531DB2" w:rsidRDefault="00D9377F" w:rsidP="00D9377F">
      <w:r w:rsidRPr="00531DB2">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531DB2" w:rsidRDefault="00D9377F" w:rsidP="00D9377F">
      <w:r w:rsidRPr="00531DB2">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531DB2">
        <w:br w:type="page"/>
      </w:r>
    </w:p>
    <w:p w14:paraId="61327BCA" w14:textId="77777777" w:rsidR="00411882" w:rsidRPr="00531DB2" w:rsidRDefault="001B23E7" w:rsidP="00411882">
      <w:pPr>
        <w:pStyle w:val="Ttulo1"/>
      </w:pPr>
      <w:bookmarkStart w:id="0" w:name="_Hlk211794100"/>
      <w:r w:rsidRPr="00531DB2">
        <w:lastRenderedPageBreak/>
        <w:t xml:space="preserve">Parte 1: </w:t>
      </w:r>
      <w:r w:rsidR="00851997" w:rsidRPr="00531DB2">
        <w:t>Análisi</w:t>
      </w:r>
      <w:r w:rsidR="00520199" w:rsidRPr="00531DB2">
        <w:t>s</w:t>
      </w:r>
      <w:r w:rsidR="00851997" w:rsidRPr="00531DB2">
        <w:t xml:space="preserve"> Exploratorio de Datos </w:t>
      </w:r>
    </w:p>
    <w:p w14:paraId="66C6F2D4" w14:textId="5E5624C0" w:rsidR="00851997" w:rsidRPr="00531DB2" w:rsidRDefault="00851997" w:rsidP="00B1636D">
      <w:pPr>
        <w:pStyle w:val="Ttulo2"/>
        <w:numPr>
          <w:ilvl w:val="0"/>
          <w:numId w:val="0"/>
        </w:numPr>
        <w:ind w:left="576" w:hanging="576"/>
      </w:pPr>
      <w:r w:rsidRPr="00531DB2">
        <w:t>Formulación del problema de indagación y la claridad del contexto analítico</w:t>
      </w:r>
    </w:p>
    <w:p w14:paraId="61E5B73F" w14:textId="77777777"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531DB2">
        <w:rPr>
          <w:rFonts w:eastAsia="Times New Roman"/>
          <w:b w:val="0"/>
          <w:bCs w:val="0"/>
        </w:rPr>
        <w:t>Colombia,</w:t>
      </w:r>
      <w:r w:rsidRPr="00531DB2">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531DB2">
        <w:rPr>
          <w:rStyle w:val="Refdenotaalpie"/>
          <w:rFonts w:eastAsia="Times New Roman"/>
          <w:b w:val="0"/>
          <w:bCs w:val="0"/>
        </w:rPr>
        <w:footnoteReference w:id="2"/>
      </w:r>
      <w:r w:rsidRPr="00531DB2">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A partir de los datos de la Evaluación Conjunta de Necesidades del año 2025 (ECN2025), se observa que </w:t>
      </w:r>
      <w:r w:rsidRPr="00531DB2">
        <w:rPr>
          <w:rFonts w:eastAsia="Times New Roman"/>
        </w:rPr>
        <w:t>Cartagena de Indias</w:t>
      </w:r>
      <w:r w:rsidRPr="00531DB2">
        <w:rPr>
          <w:rFonts w:eastAsia="Times New Roman"/>
          <w:b w:val="0"/>
          <w:bCs w:val="0"/>
        </w:rPr>
        <w:t xml:space="preserve"> es la ciudad con menor proporción de hogares que </w:t>
      </w:r>
      <w:r w:rsidRPr="00531DB2">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531DB2">
        <w:rPr>
          <w:rFonts w:eastAsia="Times New Roman"/>
          <w:b w:val="0"/>
          <w:bCs w:val="0"/>
          <w:highlight w:val="yellow"/>
        </w:rPr>
        <w:t xml:space="preserve">(Figura </w:t>
      </w:r>
      <w:commentRangeStart w:id="1"/>
      <w:r w:rsidRPr="00531DB2">
        <w:rPr>
          <w:rFonts w:eastAsia="Times New Roman"/>
          <w:b w:val="0"/>
          <w:bCs w:val="0"/>
          <w:highlight w:val="yellow"/>
        </w:rPr>
        <w:t>1</w:t>
      </w:r>
      <w:commentRangeEnd w:id="1"/>
      <w:r w:rsidR="003831E3" w:rsidRPr="00531DB2">
        <w:rPr>
          <w:rStyle w:val="Refdecomentario"/>
          <w:rFonts w:eastAsia="Times New Roman"/>
          <w:b w:val="0"/>
          <w:bCs w:val="0"/>
          <w:sz w:val="24"/>
          <w:szCs w:val="24"/>
        </w:rPr>
        <w:commentReference w:id="1"/>
      </w:r>
      <w:r w:rsidRPr="00531DB2">
        <w:rPr>
          <w:rFonts w:eastAsia="Times New Roman"/>
          <w:b w:val="0"/>
          <w:bCs w:val="0"/>
          <w:highlight w:val="yellow"/>
        </w:rPr>
        <w:t>).</w:t>
      </w:r>
      <w:r w:rsidRPr="00531DB2">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531DB2" w:rsidRDefault="00E94D9A" w:rsidP="00E94D9A">
      <w:r w:rsidRPr="00531DB2">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531DB2" w:rsidRDefault="00E94D9A" w:rsidP="00E94D9A">
      <w:pPr>
        <w:jc w:val="center"/>
      </w:pPr>
      <w:r w:rsidRPr="00531DB2">
        <w:rPr>
          <w:b/>
          <w:bCs/>
        </w:rPr>
        <w:t>Figura 1.</w:t>
      </w:r>
      <w:r w:rsidRPr="00531DB2">
        <w:t xml:space="preserve"> Ranking de ciudades con mayor intención de movilidad. Fuente: Evaluación Conjunta de Necesidades. Elaboración propia</w:t>
      </w:r>
    </w:p>
    <w:p w14:paraId="1B0AA87B" w14:textId="7494D706" w:rsidR="00546891" w:rsidRPr="00531DB2" w:rsidRDefault="00546891" w:rsidP="00546891">
      <w:pPr>
        <w:pStyle w:val="Ttulo2"/>
        <w:numPr>
          <w:ilvl w:val="0"/>
          <w:numId w:val="0"/>
        </w:numPr>
        <w:rPr>
          <w:rFonts w:eastAsia="Times New Roman"/>
          <w:b w:val="0"/>
          <w:bCs w:val="0"/>
        </w:rPr>
      </w:pPr>
      <w:r w:rsidRPr="00531DB2">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531DB2">
        <w:rPr>
          <w:rFonts w:eastAsia="Times New Roman"/>
          <w:b w:val="0"/>
          <w:bCs w:val="0"/>
          <w:highlight w:val="yellow"/>
        </w:rPr>
        <w:t>(Figura 2).</w:t>
      </w:r>
      <w:r w:rsidRPr="00531DB2">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531DB2" w:rsidRDefault="003831E3" w:rsidP="003831E3">
      <w:pPr>
        <w:jc w:val="center"/>
      </w:pPr>
      <w:r w:rsidRPr="00531DB2">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531DB2" w:rsidRDefault="003831E3" w:rsidP="003831E3">
      <w:pPr>
        <w:jc w:val="center"/>
      </w:pPr>
      <w:r w:rsidRPr="00531DB2">
        <w:rPr>
          <w:b/>
          <w:bCs/>
        </w:rPr>
        <w:t>Figura 2.</w:t>
      </w:r>
      <w:r w:rsidRPr="00531DB2">
        <w:t xml:space="preserve"> Ranking de ciudades con menor intención de movilidad. Fuente: Evaluación Conjunta de Necesidades. Elaboración propia</w:t>
      </w:r>
    </w:p>
    <w:p w14:paraId="252367F5" w14:textId="07679D8A" w:rsidR="009D621E" w:rsidRPr="00531DB2" w:rsidRDefault="00546891" w:rsidP="00411882">
      <w:r w:rsidRPr="00531DB2">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531DB2">
        <w:rPr>
          <w:rStyle w:val="Refdenotaalpie"/>
        </w:rPr>
        <w:footnoteReference w:id="3"/>
      </w:r>
      <w:r w:rsidRPr="00531DB2">
        <w:t xml:space="preserve"> de los hogares migrantes, sugiriendo una mayor estabilidad residencial propicia para intervenciones a largo plazo. En este contexto, </w:t>
      </w:r>
      <w:r w:rsidRPr="00531DB2">
        <w:rPr>
          <w:b/>
          <w:bCs/>
        </w:rPr>
        <w:t>este trabajo busca responder si las carencias en el acceso a servicios básicos de los hogares migrantes en Cartagena difieren según su nivel de vulnerabilidad.</w:t>
      </w:r>
      <w:r w:rsidRPr="00531DB2">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531DB2">
        <w:t>ii</w:t>
      </w:r>
      <w:proofErr w:type="spellEnd"/>
      <w:r w:rsidRPr="00531DB2">
        <w:t xml:space="preserve">) hogar monoparental, </w:t>
      </w:r>
      <w:proofErr w:type="spellStart"/>
      <w:r w:rsidRPr="00531DB2">
        <w:t>iii</w:t>
      </w:r>
      <w:proofErr w:type="spellEnd"/>
      <w:r w:rsidRPr="00531DB2">
        <w:t>)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3EA11662" w:rsidR="00851997" w:rsidRPr="00531DB2" w:rsidRDefault="005D52F5" w:rsidP="00B1636D">
      <w:pPr>
        <w:pStyle w:val="Ttulo2"/>
        <w:numPr>
          <w:ilvl w:val="1"/>
          <w:numId w:val="8"/>
        </w:numPr>
        <w:rPr>
          <w:rFonts w:eastAsiaTheme="minorHAnsi"/>
        </w:rPr>
      </w:pPr>
      <w:commentRangeStart w:id="2"/>
      <w:r w:rsidRPr="00531DB2">
        <w:rPr>
          <w:rFonts w:eastAsiaTheme="minorHAnsi"/>
        </w:rPr>
        <w:t>La definición de las variables u</w:t>
      </w:r>
      <w:r w:rsidRPr="00531DB2">
        <w:t>ti</w:t>
      </w:r>
      <w:r w:rsidRPr="00531DB2">
        <w:rPr>
          <w:rFonts w:eastAsiaTheme="minorHAnsi"/>
        </w:rPr>
        <w:t>lizadas y la jus</w:t>
      </w:r>
      <w:r w:rsidRPr="00531DB2">
        <w:t>ti</w:t>
      </w:r>
      <w:r w:rsidRPr="00531DB2">
        <w:rPr>
          <w:rFonts w:eastAsiaTheme="minorHAnsi"/>
        </w:rPr>
        <w:t>ficación de su selección</w:t>
      </w:r>
      <w:commentRangeEnd w:id="2"/>
      <w:r w:rsidR="005C5E05" w:rsidRPr="00531DB2">
        <w:rPr>
          <w:rStyle w:val="Refdecomentario"/>
          <w:sz w:val="24"/>
          <w:szCs w:val="24"/>
        </w:rPr>
        <w:commentReference w:id="2"/>
      </w:r>
    </w:p>
    <w:p w14:paraId="0C4141D7" w14:textId="2983D666" w:rsidR="00B1636D" w:rsidRPr="00531DB2" w:rsidRDefault="00B1636D" w:rsidP="00B1636D">
      <w:r w:rsidRPr="00531DB2">
        <w:t xml:space="preserve">Considerando la pregunta de investigación planteada, en esta sección se definen y describen las variables centrales que orientan el análisis. La variable dependiente corresponde a la </w:t>
      </w:r>
      <w:r w:rsidRPr="00531DB2">
        <w:lastRenderedPageBreak/>
        <w:t xml:space="preserve">carencia de acceso a servicios públicos, entendida como un indicador sintético de las condiciones de vivienda. Por su parte, la variable independiente se construye como un índice de vulnerabilidad a nivel de hogar, elaborado a partir de </w:t>
      </w:r>
      <w:r w:rsidR="00F328B5" w:rsidRPr="00531DB2">
        <w:t xml:space="preserve">tres </w:t>
      </w:r>
      <w:r w:rsidRPr="00531DB2">
        <w:t>dimensiones estructurales que reflejan riesgos sociales específicos. El objetivo de esta sección es caracterizar ambas variables, identificando su composición y lógica de construcción como paso previo al análisis comparativo de su relación</w:t>
      </w:r>
      <w:r w:rsidR="001C1C03" w:rsidRPr="00531DB2">
        <w:t>.</w:t>
      </w:r>
    </w:p>
    <w:p w14:paraId="22E860EC" w14:textId="77777777" w:rsidR="009D621E" w:rsidRPr="00531DB2" w:rsidRDefault="001C1C03" w:rsidP="009D621E">
      <w:r w:rsidRPr="00531DB2">
        <w:rPr>
          <w:b/>
          <w:bCs/>
        </w:rPr>
        <w:t>1.2.1 Variable dependiente-carencia de acceso a servicios públicos:</w:t>
      </w:r>
      <w:r w:rsidRPr="00531DB2">
        <w:t xml:space="preserve"> </w:t>
      </w:r>
      <w:r w:rsidR="009D621E" w:rsidRPr="00531DB2">
        <w:t>La variable dependiente del estudio corresponde a la carencia de acceso a servicios públicos, concebida como un indicador sintético de las condiciones básicas de habitabilidad del hogar. Su construcción integra cinco dimensiones esenciales: electricidad, gas, alcantarillado, acueducto y recolección de basuras. A cada hogar se le asigna un punto por cada servicio del que carece, por lo que la variable puede tomar valores entre 0 (sin carencias) y 5 (carencia total de servicios básicos). Este indicador permite cuantificar de manera integral la privación material relacionada con la infraestructura básica, constituyéndose en un componente clave del índice de vulnerabilidad de los hogares migrantes en Cartagena.</w:t>
      </w:r>
    </w:p>
    <w:p w14:paraId="68D4B931" w14:textId="284D907E" w:rsidR="002159EC" w:rsidRPr="00531DB2" w:rsidRDefault="002159EC" w:rsidP="009D621E">
      <w:pPr>
        <w:jc w:val="center"/>
      </w:pPr>
      <w:r w:rsidRPr="00531DB2">
        <w:rPr>
          <w:noProof/>
        </w:rPr>
        <w:drawing>
          <wp:inline distT="0" distB="0" distL="0" distR="0" wp14:anchorId="5EF79F2B" wp14:editId="15D1676F">
            <wp:extent cx="1309421" cy="2014434"/>
            <wp:effectExtent l="0" t="0" r="5080" b="5080"/>
            <wp:docPr id="137386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668" cy="2036351"/>
                    </a:xfrm>
                    <a:prstGeom prst="rect">
                      <a:avLst/>
                    </a:prstGeom>
                    <a:noFill/>
                  </pic:spPr>
                </pic:pic>
              </a:graphicData>
            </a:graphic>
          </wp:inline>
        </w:drawing>
      </w:r>
    </w:p>
    <w:p w14:paraId="204860FA" w14:textId="310B05A9" w:rsidR="00155EA9" w:rsidRPr="00531DB2" w:rsidRDefault="00155EA9" w:rsidP="001C1C03">
      <w:r w:rsidRPr="00531DB2">
        <w:rPr>
          <w:b/>
          <w:bCs/>
        </w:rPr>
        <w:t>Tabla 1.</w:t>
      </w:r>
      <w:r w:rsidRPr="00531DB2">
        <w:t xml:space="preserve"> Estadísticas descriptivas de la variable dependiente-carencia de servicios públicos.</w:t>
      </w:r>
    </w:p>
    <w:p w14:paraId="3217D062" w14:textId="2FA56110" w:rsidR="009D621E" w:rsidRPr="00531DB2" w:rsidRDefault="009D621E" w:rsidP="009D621E">
      <w:r w:rsidRPr="00531DB2">
        <w:rPr>
          <w:b/>
          <w:bCs/>
        </w:rPr>
        <w:t>Notas de método.</w:t>
      </w:r>
      <w:r w:rsidRPr="00531DB2">
        <w:t xml:space="preserve"> La variable servicios mide el número de carencias en el acceso a servicios básicos (0 a 5). No se identificaron valores fuera del rango 0–5. Los valores NA se reportan explícitamente y no se imputaron.</w:t>
      </w:r>
    </w:p>
    <w:p w14:paraId="18A76C14" w14:textId="2779F531" w:rsidR="00C02558" w:rsidRPr="00531DB2" w:rsidRDefault="00C02558" w:rsidP="00C02558">
      <w:r w:rsidRPr="00531DB2">
        <w:t xml:space="preserve">De la </w:t>
      </w:r>
      <w:r w:rsidRPr="00531DB2">
        <w:rPr>
          <w:highlight w:val="yellow"/>
        </w:rPr>
        <w:t>tabla 1</w:t>
      </w:r>
      <w:r w:rsidRPr="00531DB2">
        <w:t>, se evidencia que la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1.34, un tercer cuartil de 2 y un máximo de 4, lo que evidencia que la distribución está sesgada hacia valores bajos y que la mayoría de los hogares cuentan con pocos servicios.  El sesgo hacia los valores bajos sugiere una heterogeneidad limitada en el acceso, con escasos hogares en situación de privación extrema.</w:t>
      </w:r>
    </w:p>
    <w:p w14:paraId="07AA7A05" w14:textId="69EA078A" w:rsidR="009D621E" w:rsidRPr="00531DB2" w:rsidRDefault="00C02558" w:rsidP="00C02558">
      <w:r w:rsidRPr="00531DB2">
        <w:lastRenderedPageBreak/>
        <w:t>En términos de vulnerabilidad, este patrón puede interpretarse como una acumulación moderada de desventajas estructurales: la presencia simultánea de múltiples carencias incrementa la exposición de los hogares a condiciones de precariedad. No obstante, se identifica un resultado relevante: algunos hogares presentan mayor número de servicios básicos, pero mantienen niveles altos del índice agregado de vulnerabilidad, lo que sugiere que el acceso a infraestructura no siempre se traduce en menor vulnerabilidad multidimensional, posiblemente debido a limitaciones en ingresos, empleo o capital humano.</w:t>
      </w:r>
    </w:p>
    <w:p w14:paraId="63D994FB" w14:textId="0CE06175" w:rsidR="00BF3C40" w:rsidRPr="00531DB2" w:rsidRDefault="00BF3C40" w:rsidP="00BF3C40">
      <w:pPr>
        <w:jc w:val="center"/>
      </w:pPr>
      <w:r w:rsidRPr="00531DB2">
        <w:rPr>
          <w:noProof/>
        </w:rPr>
        <w:drawing>
          <wp:inline distT="0" distB="0" distL="0" distR="0" wp14:anchorId="552F7B00" wp14:editId="3F1DA974">
            <wp:extent cx="3262579" cy="1610501"/>
            <wp:effectExtent l="0" t="0" r="0" b="8890"/>
            <wp:docPr id="293655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244" cy="1616259"/>
                    </a:xfrm>
                    <a:prstGeom prst="rect">
                      <a:avLst/>
                    </a:prstGeom>
                    <a:noFill/>
                  </pic:spPr>
                </pic:pic>
              </a:graphicData>
            </a:graphic>
          </wp:inline>
        </w:drawing>
      </w:r>
    </w:p>
    <w:p w14:paraId="0ABE7993" w14:textId="5F83F0D2" w:rsidR="00155EA9" w:rsidRPr="00531DB2" w:rsidRDefault="00155EA9" w:rsidP="002F7FCD">
      <w:pPr>
        <w:jc w:val="center"/>
      </w:pPr>
      <w:r w:rsidRPr="00531DB2">
        <w:rPr>
          <w:b/>
          <w:bCs/>
        </w:rPr>
        <w:t>Tabla 2.</w:t>
      </w:r>
      <w:r w:rsidRPr="00531DB2">
        <w:t xml:space="preserve"> Estadísticas descriptivas básicas de la variable dependiente-carencia de servicios públicos. Representación categórica de la variable</w:t>
      </w:r>
    </w:p>
    <w:p w14:paraId="431A4A56" w14:textId="64DE991E" w:rsidR="00C02558" w:rsidRPr="00531DB2" w:rsidRDefault="00C02558" w:rsidP="00C02558">
      <w:r w:rsidRPr="00531DB2">
        <w:t xml:space="preserve">La </w:t>
      </w:r>
      <w:r w:rsidRPr="00531DB2">
        <w:rPr>
          <w:highlight w:val="yellow"/>
        </w:rPr>
        <w:t>Tabla 2</w:t>
      </w:r>
      <w:r w:rsidRPr="00531DB2">
        <w:t xml:space="preserve"> presenta la distribución de los hogares según el número de servicios con los que cuentan, distinguiendo entre proporciones sin ponderar y ponderadas con los factores de expansión. Los resultados muestran que la mayor concentración corresponde a los hogares sin acceso a ningún servicio básico, que representan el 41,1% de la muestra sin ponderar y el 43,6% al incorporar la ponderación. </w:t>
      </w:r>
    </w:p>
    <w:p w14:paraId="62A28F58" w14:textId="77777777" w:rsidR="00C02558" w:rsidRPr="00531DB2" w:rsidRDefault="00C02558" w:rsidP="00C02558">
      <w:r w:rsidRPr="00531DB2">
        <w:t>Estas diferencias entre los resultados ponderados y no ponderados indican que, al ajustar por la estructura poblacional, las carencias tienden a ser más prevalentes, reflejando una mayor proporción de hogares con acceso limitado dentro del universo total de hogares migrantes. En conjunto, los datos evidencian una marcada desigualdad en la cobertura de servicios públicos y una alta concentración de hogares en condiciones de precariedad infraestructural. Este patrón sugiere que el déficit en servicios básicos es uno de los principales componentes estructurales de la vulnerabilidad, aunque, como se analizará más adelante, no siempre existe una correspondencia lineal entre el número de carencias y el nivel general de vulnerabilidad, lo que puede responder a la interacción con otros factores socioeconómicos (como empleo, ingresos o tamaño del hogar).</w:t>
      </w:r>
    </w:p>
    <w:p w14:paraId="73B4284E" w14:textId="77777777" w:rsidR="00C02558" w:rsidRPr="00531DB2" w:rsidRDefault="00C02558" w:rsidP="00C02558"/>
    <w:p w14:paraId="7D5A8AB7" w14:textId="4D5544CC" w:rsidR="00BF3C40" w:rsidRPr="00531DB2" w:rsidRDefault="00BF3C40" w:rsidP="00BF3C40">
      <w:pPr>
        <w:jc w:val="center"/>
      </w:pPr>
      <w:r w:rsidRPr="00531DB2">
        <w:rPr>
          <w:noProof/>
        </w:rPr>
        <w:lastRenderedPageBreak/>
        <w:drawing>
          <wp:inline distT="0" distB="0" distL="0" distR="0" wp14:anchorId="5B41130B" wp14:editId="66C09FD3">
            <wp:extent cx="4399558" cy="2639834"/>
            <wp:effectExtent l="0" t="0" r="0" b="0"/>
            <wp:docPr id="2065917477" name="Imagen 5"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7477" name="Imagen 5" descr="Imagen que contiene Logotip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3159" cy="2647995"/>
                    </a:xfrm>
                    <a:prstGeom prst="rect">
                      <a:avLst/>
                    </a:prstGeom>
                    <a:noFill/>
                    <a:ln>
                      <a:noFill/>
                    </a:ln>
                  </pic:spPr>
                </pic:pic>
              </a:graphicData>
            </a:graphic>
          </wp:inline>
        </w:drawing>
      </w:r>
    </w:p>
    <w:p w14:paraId="79201C0A" w14:textId="555E708C" w:rsidR="001846AC" w:rsidRPr="00531DB2" w:rsidRDefault="001846AC" w:rsidP="001846AC">
      <w:pPr>
        <w:jc w:val="center"/>
      </w:pPr>
      <w:r w:rsidRPr="00531DB2">
        <w:rPr>
          <w:b/>
          <w:bCs/>
        </w:rPr>
        <w:t>Figura 3.</w:t>
      </w:r>
      <w:r w:rsidRPr="00531DB2">
        <w:t xml:space="preserve"> Proporción de hogares con servicios públicos faltantes en la ciudad de Cartagena utilizando el factor de expansión (color azul) y sin utilizar (color gris). Fuente: Evaluación Conjunta de Necesidades-2025. Elaboración propia.</w:t>
      </w:r>
    </w:p>
    <w:p w14:paraId="2BDD212C" w14:textId="2646148F" w:rsidR="00C02558" w:rsidRPr="00531DB2" w:rsidRDefault="00C02558" w:rsidP="00C02558">
      <w:r w:rsidRPr="00531DB2">
        <w:t xml:space="preserve">La </w:t>
      </w:r>
      <w:r w:rsidRPr="00531DB2">
        <w:rPr>
          <w:highlight w:val="yellow"/>
        </w:rPr>
        <w:t>Figura 3</w:t>
      </w:r>
      <w:r w:rsidRPr="00531DB2">
        <w:t xml:space="preserve">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w:t>
      </w:r>
      <w:r w:rsidR="00E206B5" w:rsidRPr="00531DB2">
        <w:t xml:space="preserve"> E</w:t>
      </w:r>
      <w:r w:rsidRPr="00531DB2">
        <w:t>stos resultados sugieren que no cambian de forma considerable al usar el factor de expansión y que cerca del 60 % de los hogares tienen problemas de acceso a alguno de los servicios públicos mencionados.</w:t>
      </w:r>
    </w:p>
    <w:p w14:paraId="5B8E4B20" w14:textId="37BB30F6" w:rsidR="003D0D5C" w:rsidRPr="00531DB2" w:rsidRDefault="001C1C03" w:rsidP="001C1C03">
      <w:r w:rsidRPr="00531DB2">
        <w:rPr>
          <w:b/>
          <w:bCs/>
        </w:rPr>
        <w:t>1.2.3 Variable independiente- índice de vulnerabilidad:</w:t>
      </w:r>
      <w:r w:rsidRPr="00531DB2">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w:t>
      </w:r>
      <w:proofErr w:type="spellStart"/>
      <w:r w:rsidRPr="00531DB2">
        <w:t>ii</w:t>
      </w:r>
      <w:proofErr w:type="spellEnd"/>
      <w:r w:rsidRPr="00531DB2">
        <w:t>) condición monoparental, (</w:t>
      </w:r>
      <w:proofErr w:type="spellStart"/>
      <w:r w:rsidRPr="00531DB2">
        <w:t>iii</w:t>
      </w:r>
      <w:proofErr w:type="spellEnd"/>
      <w:r w:rsidRPr="00531DB2">
        <w:t>) presencia de personas con discapacidad y (</w:t>
      </w:r>
      <w:proofErr w:type="spellStart"/>
      <w:r w:rsidRPr="00531DB2">
        <w:t>iv</w:t>
      </w:r>
      <w:proofErr w:type="spellEnd"/>
      <w:r w:rsidRPr="00531DB2">
        <w:t xml:space="preserve">) antecedentes de violencia o amenazas. Cada condición suma un punto, por lo que el índice varía entre 0 y </w:t>
      </w:r>
      <w:r w:rsidR="00F328B5" w:rsidRPr="00531DB2">
        <w:t>3</w:t>
      </w:r>
      <w:r w:rsidRPr="00531DB2">
        <w:t xml:space="preserve">. De esta manera, el indicador permite clasificar a los hogares de acuerdo con su nivel de vulnerabilidad acumulada y constituye la base para analizar en qué medida estas diferencias estructurales se relacionan con las carencias en servicios básicos. </w:t>
      </w:r>
    </w:p>
    <w:p w14:paraId="2408B459" w14:textId="77777777" w:rsidR="00C02558" w:rsidRPr="00531DB2" w:rsidRDefault="001C1C03" w:rsidP="001C1C03">
      <w:r w:rsidRPr="00531DB2">
        <w:rPr>
          <w:b/>
          <w:bCs/>
        </w:rPr>
        <w:t>a) Jefatura femenina del hogar:</w:t>
      </w:r>
      <w:r w:rsidRPr="00531DB2">
        <w:t xml:space="preserve"> </w:t>
      </w:r>
      <w:r w:rsidR="003D0D5C" w:rsidRPr="00531DB2">
        <w:t>I</w:t>
      </w:r>
      <w:r w:rsidRPr="00531DB2">
        <w:t xml:space="preserve">dentifica si la persona cabeza de hogar es mujer. </w:t>
      </w:r>
    </w:p>
    <w:p w14:paraId="51101D94" w14:textId="77777777" w:rsidR="009D566F" w:rsidRPr="00531DB2" w:rsidRDefault="009D566F" w:rsidP="001C1C03"/>
    <w:p w14:paraId="5B10B849" w14:textId="29F5D3B6" w:rsidR="009D566F" w:rsidRPr="00531DB2" w:rsidRDefault="009D566F" w:rsidP="009D566F">
      <w:pPr>
        <w:jc w:val="center"/>
      </w:pPr>
      <w:r w:rsidRPr="00531DB2">
        <w:rPr>
          <w:noProof/>
        </w:rPr>
        <w:lastRenderedPageBreak/>
        <w:drawing>
          <wp:inline distT="0" distB="0" distL="0" distR="0" wp14:anchorId="56C7BE6A" wp14:editId="0BF09253">
            <wp:extent cx="1385248" cy="2065930"/>
            <wp:effectExtent l="0" t="0" r="5715" b="0"/>
            <wp:docPr id="17096564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6400" name="Imagen 1" descr="Interfaz de usuario gráfica, Aplicación&#10;&#10;El contenido generado por IA puede ser incorrecto."/>
                    <pic:cNvPicPr/>
                  </pic:nvPicPr>
                  <pic:blipFill>
                    <a:blip r:embed="rId20"/>
                    <a:stretch>
                      <a:fillRect/>
                    </a:stretch>
                  </pic:blipFill>
                  <pic:spPr>
                    <a:xfrm>
                      <a:off x="0" y="0"/>
                      <a:ext cx="1388367" cy="2070581"/>
                    </a:xfrm>
                    <a:prstGeom prst="rect">
                      <a:avLst/>
                    </a:prstGeom>
                  </pic:spPr>
                </pic:pic>
              </a:graphicData>
            </a:graphic>
          </wp:inline>
        </w:drawing>
      </w:r>
    </w:p>
    <w:p w14:paraId="27084606" w14:textId="1A8DA7AA" w:rsidR="009D566F" w:rsidRPr="00531DB2" w:rsidRDefault="009D566F" w:rsidP="009D566F">
      <w:pPr>
        <w:jc w:val="center"/>
      </w:pPr>
      <w:r w:rsidRPr="00531DB2">
        <w:rPr>
          <w:b/>
          <w:bCs/>
        </w:rPr>
        <w:t xml:space="preserve">Tabla </w:t>
      </w:r>
      <w:r w:rsidR="008E4BB9" w:rsidRPr="00531DB2">
        <w:rPr>
          <w:b/>
          <w:bCs/>
        </w:rPr>
        <w:t>4</w:t>
      </w:r>
      <w:r w:rsidRPr="00531DB2">
        <w:rPr>
          <w:b/>
          <w:bCs/>
        </w:rPr>
        <w:t>.</w:t>
      </w:r>
      <w:r w:rsidRPr="00531DB2">
        <w:t xml:space="preserve"> Estadísticas descriptivas básicas de la variable </w:t>
      </w:r>
      <w:r w:rsidR="008E4BB9" w:rsidRPr="00531DB2">
        <w:t>jefatura de hogar</w:t>
      </w:r>
    </w:p>
    <w:p w14:paraId="5933FBE1" w14:textId="4A4FAE00" w:rsidR="00C02558" w:rsidRPr="00531DB2" w:rsidRDefault="009D566F" w:rsidP="009D566F">
      <w:r w:rsidRPr="00531DB2">
        <w:rPr>
          <w:b/>
          <w:bCs/>
        </w:rPr>
        <w:t>Notas de método:</w:t>
      </w:r>
      <w:r w:rsidRPr="00531DB2">
        <w:t xml:space="preserve"> La variable '</w:t>
      </w:r>
      <w:proofErr w:type="spellStart"/>
      <w:r w:rsidRPr="00531DB2">
        <w:t>head_female</w:t>
      </w:r>
      <w:proofErr w:type="spellEnd"/>
      <w:r w:rsidRPr="00531DB2">
        <w:t>' identifica si el hogar tiene jefatura femenina (1 = mujer, 0 = hombre). No se identificaron valores perdidos</w:t>
      </w:r>
      <w:r w:rsidR="00E206B5" w:rsidRPr="00531DB2">
        <w:t>, no se imputaron.</w:t>
      </w:r>
    </w:p>
    <w:p w14:paraId="18530A28" w14:textId="5EC85CD3" w:rsidR="00C02558" w:rsidRPr="00531DB2" w:rsidRDefault="00C81F08" w:rsidP="001C1C03">
      <w:r w:rsidRPr="00531DB2">
        <w:t xml:space="preserve">De acuerdo con la Tabla 3, la variable </w:t>
      </w:r>
      <w:r w:rsidRPr="00531DB2">
        <w:rPr>
          <w:i/>
          <w:iCs/>
        </w:rPr>
        <w:t>jefatura femenina del hogar</w:t>
      </w:r>
      <w:r w:rsidRPr="00531DB2">
        <w:t xml:space="preserve"> es de tipo binaria, con dos categorías posibles: 0 para hogares con jefe hombre y 1 para hogares con jefa mujer. Se registran 163 observaciones válidas y sin valores faltantes. Los estadísticos descriptivos muestran un valor mínimo de 0, un máximo de 1, una media de 0</w:t>
      </w:r>
      <w:r w:rsidR="00E206B5" w:rsidRPr="00531DB2">
        <w:t>.</w:t>
      </w:r>
      <w:r w:rsidRPr="00531DB2">
        <w:t>7</w:t>
      </w:r>
      <w:r w:rsidR="00E206B5" w:rsidRPr="00531DB2">
        <w:t>0</w:t>
      </w:r>
      <w:r w:rsidRPr="00531DB2">
        <w:t xml:space="preserve"> y una mediana de 1, lo que indica que aproximadamente el 70% de los hogares son encabezados por mujeres. La concentración de valores en 1 confirma que la jefatura femenina es predominante dentro de la muestra.</w:t>
      </w:r>
      <w:r w:rsidR="00E206B5" w:rsidRPr="00531DB2">
        <w:t xml:space="preserve"> </w:t>
      </w:r>
      <w:r w:rsidRPr="00531DB2">
        <w:t>Este resultado refuerza la idea de que, en la población analizada, las mujeres desempeñan un rol central como proveedoras y responsables principales del hogar, especialmente en contextos de movilidad y vulnerabilidad. La sobrerrepresentación de hogares con jefatura femenina puede estar relacionada con procesos de desplazamiento o separación familiar, que conllevan una mayor carga económica y de cuidado sobre las mujeres.</w:t>
      </w:r>
    </w:p>
    <w:p w14:paraId="5206E652" w14:textId="636B5593" w:rsidR="003D0D5C" w:rsidRPr="00531DB2" w:rsidRDefault="00706153" w:rsidP="00C81F08">
      <w:pPr>
        <w:jc w:val="center"/>
      </w:pPr>
      <w:r w:rsidRPr="00531DB2">
        <w:rPr>
          <w:noProof/>
        </w:rPr>
        <w:drawing>
          <wp:inline distT="0" distB="0" distL="0" distR="0" wp14:anchorId="06258C21" wp14:editId="153F70C7">
            <wp:extent cx="3880237" cy="1979246"/>
            <wp:effectExtent l="0" t="0" r="0" b="0"/>
            <wp:docPr id="6281740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989"/>
                    <a:stretch>
                      <a:fillRect/>
                    </a:stretch>
                  </pic:blipFill>
                  <pic:spPr bwMode="auto">
                    <a:xfrm>
                      <a:off x="0" y="0"/>
                      <a:ext cx="3897010" cy="1987802"/>
                    </a:xfrm>
                    <a:prstGeom prst="rect">
                      <a:avLst/>
                    </a:prstGeom>
                    <a:noFill/>
                    <a:ln>
                      <a:noFill/>
                    </a:ln>
                    <a:extLst>
                      <a:ext uri="{53640926-AAD7-44D8-BBD7-CCE9431645EC}">
                        <a14:shadowObscured xmlns:a14="http://schemas.microsoft.com/office/drawing/2010/main"/>
                      </a:ext>
                    </a:extLst>
                  </pic:spPr>
                </pic:pic>
              </a:graphicData>
            </a:graphic>
          </wp:inline>
        </w:drawing>
      </w:r>
    </w:p>
    <w:p w14:paraId="6E997FF5" w14:textId="40234E85" w:rsidR="00404CCD" w:rsidRPr="00531DB2" w:rsidRDefault="001C1C03" w:rsidP="00C1637B">
      <w:pPr>
        <w:jc w:val="center"/>
      </w:pPr>
      <w:r w:rsidRPr="00531DB2">
        <w:rPr>
          <w:b/>
          <w:bCs/>
        </w:rPr>
        <w:lastRenderedPageBreak/>
        <w:t>Figura 4.</w:t>
      </w:r>
      <w:r w:rsidRPr="00531DB2">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616B581B" w14:textId="51862DB0" w:rsidR="00C81F08" w:rsidRPr="00531DB2" w:rsidRDefault="00C81F08" w:rsidP="00C81F08">
      <w:r w:rsidRPr="00531DB2">
        <w:t xml:space="preserve">La </w:t>
      </w:r>
      <w:r w:rsidRPr="00531DB2">
        <w:rPr>
          <w:highlight w:val="yellow"/>
        </w:rPr>
        <w:t>Figura 4</w:t>
      </w:r>
      <w:r w:rsidRPr="00531DB2">
        <w:t xml:space="preserve"> ilustra estas diferencias: al incorporar los factores de expansión (barras azules), la proporción de jefatura masculina aumenta de 29,4% a 47,2%, mientras que la jefatura femenina disminuye de 70,6% a 52,8%. Este patrón sugiere que, en el universo poblacional de hogares migrantes en Cartagena, la jefatura masculina es más común que lo que reflejaba la muestra bruta, lo cual tiene implicaciones importantes para la interpretación del índice de vulnerabilidad. </w:t>
      </w:r>
      <w:r w:rsidR="00E206B5" w:rsidRPr="00531DB2">
        <w:t>L</w:t>
      </w:r>
      <w:r w:rsidRPr="00531DB2">
        <w:t>a mayor representación de hogares con jefatura femenina en la muestra original podría estar vinculada a condiciones de mayor exposición socioeconómica, dado que las mujeres jefas suelen enfrentar mayores restricciones de ingreso, empleo y redes de apoyo. Por tanto, la ponderación permite ajustar esta sobrerrepresentación y obtener una estimación más realista del peso relativo de cada tipo de hogar dentro del total.</w:t>
      </w:r>
    </w:p>
    <w:p w14:paraId="08D11FFB" w14:textId="2393A716" w:rsidR="005257EF" w:rsidRPr="00531DB2" w:rsidRDefault="001C1C03" w:rsidP="001C1C03">
      <w:r w:rsidRPr="00531DB2">
        <w:rPr>
          <w:b/>
          <w:bCs/>
        </w:rPr>
        <w:t>b) Hogar monoparental:</w:t>
      </w:r>
      <w:r w:rsidRPr="00531DB2">
        <w:t xml:space="preserve"> </w:t>
      </w:r>
      <w:r w:rsidR="003D0D5C" w:rsidRPr="00531DB2">
        <w:t>D</w:t>
      </w:r>
      <w:r w:rsidRPr="00531DB2">
        <w:t xml:space="preserve">etermina si el hogar está conformado por un padre o madre sin cónyuge y con hijos, o si incluye un “Papá/Mamá” con estado civil soltero, separado, divorciado o viudo. En relación con esta variable, se observa que no presenta valores faltantes y que sus únicos valores posibles corresponden a 0 y 1. </w:t>
      </w:r>
    </w:p>
    <w:p w14:paraId="639880A1" w14:textId="2AB15AB3" w:rsidR="005257EF" w:rsidRPr="00531DB2" w:rsidRDefault="005257EF" w:rsidP="005257EF">
      <w:pPr>
        <w:jc w:val="center"/>
      </w:pPr>
      <w:r w:rsidRPr="00531DB2">
        <w:rPr>
          <w:noProof/>
        </w:rPr>
        <w:drawing>
          <wp:inline distT="0" distB="0" distL="0" distR="0" wp14:anchorId="70F15739" wp14:editId="65257B50">
            <wp:extent cx="1480782" cy="2182878"/>
            <wp:effectExtent l="0" t="0" r="5715" b="8255"/>
            <wp:docPr id="572019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19675" name="Imagen 1" descr="Interfaz de usuario gráfica, Aplicación&#10;&#10;El contenido generado por IA puede ser incorrecto."/>
                    <pic:cNvPicPr/>
                  </pic:nvPicPr>
                  <pic:blipFill>
                    <a:blip r:embed="rId22"/>
                    <a:stretch>
                      <a:fillRect/>
                    </a:stretch>
                  </pic:blipFill>
                  <pic:spPr>
                    <a:xfrm>
                      <a:off x="0" y="0"/>
                      <a:ext cx="1483892" cy="2187463"/>
                    </a:xfrm>
                    <a:prstGeom prst="rect">
                      <a:avLst/>
                    </a:prstGeom>
                  </pic:spPr>
                </pic:pic>
              </a:graphicData>
            </a:graphic>
          </wp:inline>
        </w:drawing>
      </w:r>
    </w:p>
    <w:p w14:paraId="0CC1E618" w14:textId="7AFC4E66" w:rsidR="00E206B5" w:rsidRPr="00531DB2" w:rsidRDefault="005257EF" w:rsidP="00E206B5">
      <w:pPr>
        <w:jc w:val="center"/>
      </w:pPr>
      <w:r w:rsidRPr="00531DB2">
        <w:rPr>
          <w:b/>
          <w:bCs/>
        </w:rPr>
        <w:t xml:space="preserve">Tabla </w:t>
      </w:r>
      <w:r w:rsidR="008E4BB9" w:rsidRPr="00531DB2">
        <w:rPr>
          <w:b/>
          <w:bCs/>
        </w:rPr>
        <w:t>5</w:t>
      </w:r>
      <w:r w:rsidRPr="00531DB2">
        <w:rPr>
          <w:b/>
          <w:bCs/>
        </w:rPr>
        <w:t>.</w:t>
      </w:r>
      <w:r w:rsidRPr="00531DB2">
        <w:t xml:space="preserve"> Estadísticas descriptivas básicas de la variable </w:t>
      </w:r>
      <w:r w:rsidR="008E4BB9" w:rsidRPr="00531DB2">
        <w:t>hogar monoparental</w:t>
      </w:r>
    </w:p>
    <w:p w14:paraId="38C5FF06" w14:textId="3C588CD3" w:rsidR="005257EF" w:rsidRPr="00531DB2" w:rsidRDefault="00E206B5" w:rsidP="00E206B5">
      <w:r w:rsidRPr="00531DB2">
        <w:rPr>
          <w:b/>
          <w:bCs/>
        </w:rPr>
        <w:t>Notas de método</w:t>
      </w:r>
      <w:r w:rsidRPr="00531DB2">
        <w:t>: La variable identifica si el hogar es monoparental bajo una definición relajada (1 = sí, 0 = no). No se identificaron valores perdidos o inconsistentes en la variable.</w:t>
      </w:r>
    </w:p>
    <w:p w14:paraId="46927F9B" w14:textId="7016CBED" w:rsidR="00C1637B" w:rsidRPr="00531DB2" w:rsidRDefault="00C1637B" w:rsidP="00C1637B">
      <w:pPr>
        <w:jc w:val="center"/>
      </w:pPr>
      <w:r w:rsidRPr="00531DB2">
        <w:rPr>
          <w:noProof/>
        </w:rPr>
        <w:lastRenderedPageBreak/>
        <w:drawing>
          <wp:inline distT="0" distB="0" distL="0" distR="0" wp14:anchorId="027FB108" wp14:editId="113A0467">
            <wp:extent cx="4679985" cy="2399385"/>
            <wp:effectExtent l="0" t="0" r="0" b="0"/>
            <wp:docPr id="1260220555" name="Imagen 1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0555" name="Imagen 11" descr="Imagen que contiene Logotipo&#10;&#10;El contenido generado por IA puede ser incorrec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4555"/>
                    <a:stretch>
                      <a:fillRect/>
                    </a:stretch>
                  </pic:blipFill>
                  <pic:spPr bwMode="auto">
                    <a:xfrm>
                      <a:off x="0" y="0"/>
                      <a:ext cx="4689319" cy="2404171"/>
                    </a:xfrm>
                    <a:prstGeom prst="rect">
                      <a:avLst/>
                    </a:prstGeom>
                    <a:noFill/>
                    <a:ln>
                      <a:noFill/>
                    </a:ln>
                    <a:extLst>
                      <a:ext uri="{53640926-AAD7-44D8-BBD7-CCE9431645EC}">
                        <a14:shadowObscured xmlns:a14="http://schemas.microsoft.com/office/drawing/2010/main"/>
                      </a:ext>
                    </a:extLst>
                  </pic:spPr>
                </pic:pic>
              </a:graphicData>
            </a:graphic>
          </wp:inline>
        </w:drawing>
      </w:r>
    </w:p>
    <w:p w14:paraId="4621F52B" w14:textId="4553C6E7" w:rsidR="003D0D5C" w:rsidRPr="00531DB2" w:rsidRDefault="001C1C03" w:rsidP="003D0D5C">
      <w:pPr>
        <w:jc w:val="center"/>
      </w:pPr>
      <w:r w:rsidRPr="00531DB2">
        <w:rPr>
          <w:b/>
          <w:bCs/>
        </w:rPr>
        <w:t>Figura 5</w:t>
      </w:r>
      <w:r w:rsidRPr="00531DB2">
        <w:t>. Proporción de hogares con jefatura del hogar monoparental en la ciudad de Cartagena utilizando el factor de expansión (color azul) y sin utilizar este factor (color gris). Fuente: Evaluación Conjunta de Necesidades-2025. Elaboración propia.</w:t>
      </w:r>
    </w:p>
    <w:p w14:paraId="6275EBF8" w14:textId="2C1F588A" w:rsidR="005257EF" w:rsidRPr="00531DB2" w:rsidRDefault="005257EF" w:rsidP="005257EF">
      <w:r w:rsidRPr="00531DB2">
        <w:t>En un primer análisis sin ponderar, se observa que el 30.7% de los hogares corresponde a estructuras monoparentales, es decir, aquellos en los que un solo adulto asume la responsabilidad del hogar y del cuidado de los hijos, mientras que el 69.3% restante cuenta con dos o más adultos a cargo. Sin embargo, al incorporar el factor de expansión, que ajusta los datos para reflejar la estructura real de la población, la proporción de hogares monoparentales disminuye a 24.1%, en tanto que los hogares con dos o más adultos aumentan a 75.9%.</w:t>
      </w:r>
    </w:p>
    <w:p w14:paraId="635DE878" w14:textId="40C9B55C" w:rsidR="005257EF" w:rsidRPr="00531DB2" w:rsidRDefault="005257EF" w:rsidP="005257EF">
      <w:r w:rsidRPr="00531DB2">
        <w:t>Este cambio revela que la muestra original sobreestimaba la presencia de hogares monoparentales y que, en términos poblacionales, su peso relativo es menor. No obstante, su relevancia social continúa siendo significativa, dado que concentran mayores niveles de vulnerabilidad frente a los hogares biparentales o extendidos. La existencia de un único adulto proveedor y cuidador suele implicar limitaciones en la generación de ingresos, mayor carga de trabajo doméstico y de cuidado, y mayores dificultades para acceder a servicios esenciales como educación o salud infantil.</w:t>
      </w:r>
      <w:r w:rsidR="00E206B5" w:rsidRPr="00531DB2">
        <w:t xml:space="preserve"> </w:t>
      </w:r>
      <w:r w:rsidRPr="00531DB2">
        <w:t xml:space="preserve">Finalmente, la ponderación no solo permite una lectura más representativa </w:t>
      </w:r>
      <w:r w:rsidR="00E206B5" w:rsidRPr="00531DB2">
        <w:t>de esta variable</w:t>
      </w:r>
      <w:r w:rsidRPr="00531DB2">
        <w:t>, sino que también refuerza la necesidad de diseñar políticas públicas diferenciadas para estos hogares, orientadas a fortalecer la conciliación entre trabajo y cuidado, promover el acceso a servicios de apoyo familiar y reducir las brechas de bienestar asociadas a la estructura monoparental.</w:t>
      </w:r>
    </w:p>
    <w:p w14:paraId="25A4FEF1" w14:textId="4B709405" w:rsidR="00D82C89" w:rsidRPr="00531DB2" w:rsidRDefault="001C1C03" w:rsidP="00D82C89">
      <w:r w:rsidRPr="00531DB2">
        <w:rPr>
          <w:b/>
          <w:bCs/>
        </w:rPr>
        <w:t>c) Presencia de personas con discapacidad:</w:t>
      </w:r>
      <w:r w:rsidRPr="00531DB2">
        <w:t xml:space="preserve"> </w:t>
      </w:r>
      <w:r w:rsidR="00D82C89" w:rsidRPr="00531DB2">
        <w:t xml:space="preserve">Esta variable identifica si al menos un miembro del hogar reporta alguna limitación o barrera física. Es de tipo entero y toma los valores 0 (sin discapacidad) y 1 (al menos un miembro con discapacidad). </w:t>
      </w:r>
    </w:p>
    <w:p w14:paraId="255BD22A" w14:textId="4EF312CC" w:rsidR="001E600C" w:rsidRPr="00531DB2" w:rsidRDefault="001E600C" w:rsidP="001E600C">
      <w:pPr>
        <w:jc w:val="center"/>
      </w:pPr>
      <w:r w:rsidRPr="00531DB2">
        <w:rPr>
          <w:noProof/>
        </w:rPr>
        <w:lastRenderedPageBreak/>
        <w:drawing>
          <wp:inline distT="0" distB="0" distL="0" distR="0" wp14:anchorId="5E24E8D6" wp14:editId="6F3FC12C">
            <wp:extent cx="1521666" cy="2279177"/>
            <wp:effectExtent l="0" t="0" r="2540" b="6985"/>
            <wp:docPr id="18630395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513" name="Imagen 1" descr="Interfaz de usuario gráfica&#10;&#10;El contenido generado por IA puede ser incorrecto."/>
                    <pic:cNvPicPr/>
                  </pic:nvPicPr>
                  <pic:blipFill>
                    <a:blip r:embed="rId24"/>
                    <a:stretch>
                      <a:fillRect/>
                    </a:stretch>
                  </pic:blipFill>
                  <pic:spPr>
                    <a:xfrm>
                      <a:off x="0" y="0"/>
                      <a:ext cx="1524675" cy="2283685"/>
                    </a:xfrm>
                    <a:prstGeom prst="rect">
                      <a:avLst/>
                    </a:prstGeom>
                  </pic:spPr>
                </pic:pic>
              </a:graphicData>
            </a:graphic>
          </wp:inline>
        </w:drawing>
      </w:r>
    </w:p>
    <w:p w14:paraId="0F239B4B" w14:textId="30380312" w:rsidR="001E600C" w:rsidRPr="00531DB2" w:rsidRDefault="001E600C" w:rsidP="001E600C">
      <w:pPr>
        <w:jc w:val="center"/>
      </w:pPr>
      <w:r w:rsidRPr="00531DB2">
        <w:rPr>
          <w:b/>
          <w:bCs/>
        </w:rPr>
        <w:t xml:space="preserve">Tabla </w:t>
      </w:r>
      <w:r w:rsidR="008E4BB9" w:rsidRPr="00531DB2">
        <w:rPr>
          <w:b/>
          <w:bCs/>
        </w:rPr>
        <w:t>6</w:t>
      </w:r>
      <w:r w:rsidRPr="00531DB2">
        <w:rPr>
          <w:b/>
          <w:bCs/>
        </w:rPr>
        <w:t>.</w:t>
      </w:r>
      <w:r w:rsidRPr="00531DB2">
        <w:t xml:space="preserve"> Estadísticas descriptivas básicas </w:t>
      </w:r>
      <w:r w:rsidR="008E4BB9" w:rsidRPr="00531DB2">
        <w:t>personas con discapacidad</w:t>
      </w:r>
    </w:p>
    <w:p w14:paraId="7576262A" w14:textId="27E856D2" w:rsidR="00C82E08" w:rsidRPr="00531DB2" w:rsidRDefault="00C82E08" w:rsidP="00C82E08">
      <w:r w:rsidRPr="00531DB2">
        <w:rPr>
          <w:b/>
          <w:bCs/>
        </w:rPr>
        <w:t xml:space="preserve">Notas de método: </w:t>
      </w:r>
      <w:r w:rsidRPr="00531DB2">
        <w:t>La variable '</w:t>
      </w:r>
      <w:proofErr w:type="spellStart"/>
      <w:r w:rsidRPr="00531DB2">
        <w:t>household_has_disability</w:t>
      </w:r>
      <w:proofErr w:type="spellEnd"/>
      <w:r w:rsidRPr="00531DB2">
        <w:t>' identifica si en el hogar hay al menos una persona con discapacidad (1 = sí, 0 = no). La mayoría de los hogares no reportan personas con discapacidad, por lo que la incidencia de esta condición es baja.</w:t>
      </w:r>
    </w:p>
    <w:p w14:paraId="29DFF0BF" w14:textId="77777777" w:rsidR="001E600C" w:rsidRPr="00531DB2" w:rsidRDefault="001E600C" w:rsidP="001E600C">
      <w:pPr>
        <w:jc w:val="center"/>
      </w:pPr>
    </w:p>
    <w:p w14:paraId="1A1EFEE3" w14:textId="64093FCB" w:rsidR="0040148A" w:rsidRPr="00531DB2" w:rsidRDefault="0040148A" w:rsidP="001E600C">
      <w:pPr>
        <w:jc w:val="center"/>
      </w:pPr>
      <w:r w:rsidRPr="00531DB2">
        <w:rPr>
          <w:noProof/>
        </w:rPr>
        <w:drawing>
          <wp:inline distT="0" distB="0" distL="0" distR="0" wp14:anchorId="0CBB0D59" wp14:editId="6AE9A435">
            <wp:extent cx="4659782" cy="2376879"/>
            <wp:effectExtent l="0" t="0" r="0" b="0"/>
            <wp:docPr id="1579910872" name="Imagen 1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0872" name="Imagen 13" descr="Imagen que contiene Gráfico&#10;&#10;El contenido generado por IA puede ser incorrect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4989"/>
                    <a:stretch>
                      <a:fillRect/>
                    </a:stretch>
                  </pic:blipFill>
                  <pic:spPr bwMode="auto">
                    <a:xfrm>
                      <a:off x="0" y="0"/>
                      <a:ext cx="4666148" cy="2380126"/>
                    </a:xfrm>
                    <a:prstGeom prst="rect">
                      <a:avLst/>
                    </a:prstGeom>
                    <a:noFill/>
                    <a:ln>
                      <a:noFill/>
                    </a:ln>
                    <a:extLst>
                      <a:ext uri="{53640926-AAD7-44D8-BBD7-CCE9431645EC}">
                        <a14:shadowObscured xmlns:a14="http://schemas.microsoft.com/office/drawing/2010/main"/>
                      </a:ext>
                    </a:extLst>
                  </pic:spPr>
                </pic:pic>
              </a:graphicData>
            </a:graphic>
          </wp:inline>
        </w:drawing>
      </w:r>
    </w:p>
    <w:p w14:paraId="3E651EAA" w14:textId="1AD896A8" w:rsidR="003D0D5C" w:rsidRPr="00531DB2" w:rsidRDefault="001C1C03" w:rsidP="00FC39D2">
      <w:pPr>
        <w:jc w:val="center"/>
      </w:pPr>
      <w:r w:rsidRPr="00531DB2">
        <w:rPr>
          <w:b/>
          <w:bCs/>
        </w:rPr>
        <w:t>Figura 6.</w:t>
      </w:r>
      <w:r w:rsidRPr="00531DB2">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F26423B" w14:textId="13B19B70" w:rsidR="00637552" w:rsidRPr="00531DB2" w:rsidRDefault="00637552" w:rsidP="00637552">
      <w:r w:rsidRPr="00531DB2">
        <w:t xml:space="preserve">En la </w:t>
      </w:r>
      <w:r w:rsidRPr="00531DB2">
        <w:rPr>
          <w:highlight w:val="yellow"/>
        </w:rPr>
        <w:t>figura 6</w:t>
      </w:r>
      <w:r w:rsidRPr="00531DB2">
        <w:t xml:space="preserve"> sin ponderar, se identificó que el 99,4% de los hogares no presenta ningún integrante con discapacidad, mientras que menos del 1% reporta al menos una persona con esta condición. Al incorporar los factores de expansión, los resultados permanecen prácticamente inalterados, confirmando que la presencia de hogares con personas con </w:t>
      </w:r>
      <w:r w:rsidRPr="00531DB2">
        <w:lastRenderedPageBreak/>
        <w:t>discapacidad es marginal en la población analizada. Además, no se registraron valores faltantes, lo que garantiza la completitud de la variable, aunque no su capacidad discriminante.</w:t>
      </w:r>
    </w:p>
    <w:p w14:paraId="6109F65A" w14:textId="60485FBC" w:rsidR="001E600C" w:rsidRPr="00531DB2" w:rsidRDefault="00637552" w:rsidP="00637552">
      <w:r w:rsidRPr="00531DB2">
        <w:t xml:space="preserve">La escasa variabilidad de esta variable (concentrada casi por completo en una sola categoría) limita su utilidad analítica, ya que no permite distinguir diferencias significativas entre hogares. En </w:t>
      </w:r>
      <w:commentRangeStart w:id="3"/>
      <w:r w:rsidRPr="00531DB2">
        <w:t>términos metodológicos, su inclusión dentro del índice de vulnerabilidad podría introducir ruido estadístico o distorsiones en la medición del constructo, al otorgar peso a una dimensión que no aporta información diferenciadora en el contexto de la muestra</w:t>
      </w:r>
      <w:commentRangeEnd w:id="3"/>
      <w:r w:rsidRPr="00531DB2">
        <w:rPr>
          <w:rStyle w:val="Refdecomentario"/>
          <w:sz w:val="24"/>
          <w:szCs w:val="24"/>
        </w:rPr>
        <w:commentReference w:id="3"/>
      </w:r>
      <w:r w:rsidR="007B7AC1" w:rsidRPr="00531DB2">
        <w:t>, por esa razón se elimina del índice.</w:t>
      </w:r>
    </w:p>
    <w:p w14:paraId="5E7964A2" w14:textId="357BAFF0" w:rsidR="00637552" w:rsidRPr="00531DB2" w:rsidRDefault="001C1C03" w:rsidP="001C1C03">
      <w:r w:rsidRPr="00531DB2">
        <w:rPr>
          <w:b/>
          <w:bCs/>
        </w:rPr>
        <w:t>d) Antecedentes de violencia o amenazas:</w:t>
      </w:r>
      <w:r w:rsidRPr="00531DB2">
        <w:t xml:space="preserve"> </w:t>
      </w:r>
      <w:r w:rsidR="00FC39D2" w:rsidRPr="00531DB2">
        <w:t>R</w:t>
      </w:r>
      <w:r w:rsidRPr="00531DB2">
        <w:t xml:space="preserve">egistra si algún miembro del hogar ha sido víctima de violencia o amenazas. </w:t>
      </w:r>
    </w:p>
    <w:p w14:paraId="63E34C53" w14:textId="55F6034F" w:rsidR="00637552" w:rsidRPr="00531DB2" w:rsidRDefault="00637552" w:rsidP="00637552">
      <w:pPr>
        <w:jc w:val="center"/>
      </w:pPr>
      <w:r w:rsidRPr="00531DB2">
        <w:rPr>
          <w:noProof/>
        </w:rPr>
        <w:drawing>
          <wp:inline distT="0" distB="0" distL="0" distR="0" wp14:anchorId="59E9DC11" wp14:editId="6581FF23">
            <wp:extent cx="1892595" cy="2757318"/>
            <wp:effectExtent l="0" t="0" r="0" b="5080"/>
            <wp:docPr id="737596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607" name="Imagen 1" descr="Interfaz de usuario gráfica, Aplicación&#10;&#10;El contenido generado por IA puede ser incorrecto."/>
                    <pic:cNvPicPr/>
                  </pic:nvPicPr>
                  <pic:blipFill>
                    <a:blip r:embed="rId26"/>
                    <a:stretch>
                      <a:fillRect/>
                    </a:stretch>
                  </pic:blipFill>
                  <pic:spPr>
                    <a:xfrm>
                      <a:off x="0" y="0"/>
                      <a:ext cx="1906789" cy="2777998"/>
                    </a:xfrm>
                    <a:prstGeom prst="rect">
                      <a:avLst/>
                    </a:prstGeom>
                  </pic:spPr>
                </pic:pic>
              </a:graphicData>
            </a:graphic>
          </wp:inline>
        </w:drawing>
      </w:r>
    </w:p>
    <w:p w14:paraId="24BF9377" w14:textId="4A3AB06B" w:rsidR="00637552" w:rsidRPr="00531DB2" w:rsidRDefault="00637552" w:rsidP="00637552">
      <w:pPr>
        <w:jc w:val="center"/>
      </w:pPr>
      <w:r w:rsidRPr="00531DB2">
        <w:rPr>
          <w:b/>
          <w:bCs/>
        </w:rPr>
        <w:t xml:space="preserve">Tabla </w:t>
      </w:r>
      <w:r w:rsidR="008E4BB9" w:rsidRPr="00531DB2">
        <w:rPr>
          <w:b/>
          <w:bCs/>
        </w:rPr>
        <w:t>7</w:t>
      </w:r>
      <w:r w:rsidRPr="00531DB2">
        <w:rPr>
          <w:b/>
          <w:bCs/>
        </w:rPr>
        <w:t>.</w:t>
      </w:r>
      <w:r w:rsidRPr="00531DB2">
        <w:t xml:space="preserve"> Estadísticas descriptivas básicas de la variable </w:t>
      </w:r>
      <w:r w:rsidR="008E4BB9" w:rsidRPr="00531DB2">
        <w:t>violencia</w:t>
      </w:r>
    </w:p>
    <w:p w14:paraId="3775983D" w14:textId="11F479E1" w:rsidR="00437740" w:rsidRPr="00531DB2" w:rsidRDefault="00437740" w:rsidP="00437740">
      <w:r w:rsidRPr="00531DB2">
        <w:rPr>
          <w:b/>
          <w:bCs/>
        </w:rPr>
        <w:t>Notas de método:</w:t>
      </w:r>
      <w:r w:rsidRPr="00531DB2">
        <w:t xml:space="preserve"> La variable '</w:t>
      </w:r>
      <w:proofErr w:type="spellStart"/>
      <w:r w:rsidRPr="00531DB2">
        <w:t>household_survivor_violence</w:t>
      </w:r>
      <w:proofErr w:type="spellEnd"/>
      <w:r w:rsidRPr="00531DB2">
        <w:t>' identifica si en el hogar hay al menos una persona sobreviviente de violencia (1 = sí, 0 = no). Se validó que la codificación sea binaria (0 y 1). Los valores NA se reportan explícitamente y no fueron imputados. No se aplican barras de error porque la variable es categórica y discreta.</w:t>
      </w:r>
    </w:p>
    <w:p w14:paraId="34D51F8A" w14:textId="65194980" w:rsidR="002564D3" w:rsidRPr="00531DB2" w:rsidRDefault="002564D3" w:rsidP="00437740">
      <w:r w:rsidRPr="00531DB2">
        <w:t xml:space="preserve">La variable </w:t>
      </w:r>
      <w:r w:rsidR="00DC6123" w:rsidRPr="00531DB2">
        <w:t xml:space="preserve">de </w:t>
      </w:r>
      <w:r w:rsidRPr="00531DB2">
        <w:t xml:space="preserve">violencia es una variable de tipo dicotómico, codificada como entero con valores 0 y 1. Su propósito es registrar de manera agregada si en el hogar hay al menos una persona que ha sido víctima de violencia o amenazas. El valor 1 identifica la presencia de al menos un sobreviviente de violencia o amenazas en el hogar, mientras que el valor 0 indica la ausencia de este antecedente. En una muestra de 163 hogares, la media de esta variable se ubicó en 0.0736, lo que se traduce en una </w:t>
      </w:r>
      <w:r w:rsidRPr="00531DB2">
        <w:rPr>
          <w:b/>
          <w:bCs/>
        </w:rPr>
        <w:t>prevalencia del 7.36%</w:t>
      </w:r>
      <w:r w:rsidRPr="00531DB2">
        <w:t xml:space="preserve">. Esto significa que la condición de violencia o amenazas a un miembro del hogar es un evento relativamente </w:t>
      </w:r>
      <w:r w:rsidRPr="00531DB2">
        <w:lastRenderedPageBreak/>
        <w:t>infrecuente. La distribución está fuertemente sesgada hacia el valor 0, tal como confirman la Mediana y el Tercer Cuartil, lo que subraya la baja incidencia de este antecedente en el grupo de estudio.</w:t>
      </w:r>
    </w:p>
    <w:p w14:paraId="6D1E19C2" w14:textId="2E174A50" w:rsidR="0040148A" w:rsidRPr="00531DB2" w:rsidRDefault="0040148A" w:rsidP="001C1C03">
      <w:r w:rsidRPr="00531DB2">
        <w:rPr>
          <w:noProof/>
        </w:rPr>
        <w:drawing>
          <wp:inline distT="0" distB="0" distL="0" distR="0" wp14:anchorId="7C5A6AC5" wp14:editId="57EE4569">
            <wp:extent cx="5612130" cy="2855341"/>
            <wp:effectExtent l="0" t="0" r="0" b="0"/>
            <wp:docPr id="353585957" name="Imagen 1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5957" name="Imagen 15" descr="Imagen que contiene Interfaz de usuario gráfica&#10;&#10;El contenido generado por IA puede ser incorrecto."/>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207"/>
                    <a:stretch>
                      <a:fillRect/>
                    </a:stretch>
                  </pic:blipFill>
                  <pic:spPr bwMode="auto">
                    <a:xfrm>
                      <a:off x="0" y="0"/>
                      <a:ext cx="5612130" cy="2855341"/>
                    </a:xfrm>
                    <a:prstGeom prst="rect">
                      <a:avLst/>
                    </a:prstGeom>
                    <a:noFill/>
                    <a:ln>
                      <a:noFill/>
                    </a:ln>
                    <a:extLst>
                      <a:ext uri="{53640926-AAD7-44D8-BBD7-CCE9431645EC}">
                        <a14:shadowObscured xmlns:a14="http://schemas.microsoft.com/office/drawing/2010/main"/>
                      </a:ext>
                    </a:extLst>
                  </pic:spPr>
                </pic:pic>
              </a:graphicData>
            </a:graphic>
          </wp:inline>
        </w:drawing>
      </w:r>
    </w:p>
    <w:p w14:paraId="445FFC5C" w14:textId="31611E1B" w:rsidR="00FC39D2" w:rsidRPr="00531DB2" w:rsidRDefault="001C1C03" w:rsidP="00FC39D2">
      <w:pPr>
        <w:jc w:val="center"/>
      </w:pPr>
      <w:r w:rsidRPr="00531DB2">
        <w:rPr>
          <w:b/>
          <w:bCs/>
        </w:rPr>
        <w:t>Figura 7.</w:t>
      </w:r>
      <w:r w:rsidRPr="00531DB2">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1C41A3C0" w14:textId="35682D33" w:rsidR="002564D3" w:rsidRPr="00531DB2" w:rsidRDefault="002564D3" w:rsidP="002564D3">
      <w:r w:rsidRPr="00531DB2">
        <w:t xml:space="preserve">En el análisis sin ponderar se identifican </w:t>
      </w:r>
      <w:r w:rsidR="00DC6123" w:rsidRPr="00531DB2">
        <w:t>que el</w:t>
      </w:r>
      <w:r w:rsidRPr="00531DB2">
        <w:t xml:space="preserve"> 92</w:t>
      </w:r>
      <w:r w:rsidR="00DC6123" w:rsidRPr="00531DB2">
        <w:t>.</w:t>
      </w:r>
      <w:r w:rsidRPr="00531DB2">
        <w:t>6% y 7</w:t>
      </w:r>
      <w:r w:rsidR="00DC6123" w:rsidRPr="00531DB2">
        <w:t>.</w:t>
      </w:r>
      <w:r w:rsidRPr="00531DB2">
        <w:t>4 % de la muestra, respectivamente. Una vez aplicado el factor de expansión el porcentaje de hogares sin violencia se reduce en 8 puntos</w:t>
      </w:r>
      <w:r w:rsidR="00DC6123" w:rsidRPr="00531DB2">
        <w:t xml:space="preserve">. </w:t>
      </w:r>
      <w:r w:rsidRPr="00531DB2">
        <w:t>La variable no presenta valores faltantes. Este resultado reviste especial relevancia desde una perspectiva de política pública, ya que los hogares que han experimentado situaciones de violencia suelen enfrentar mayores riesgos de vulnerabilidad social y económica, así como dificultades en el acceso a redes de apoyo institucional y comunitario.</w:t>
      </w:r>
    </w:p>
    <w:p w14:paraId="4A7B4DD3" w14:textId="37F8E937" w:rsidR="00350109" w:rsidRPr="00531DB2" w:rsidRDefault="001C1C03" w:rsidP="001C1C03">
      <w:r w:rsidRPr="00531DB2">
        <w:rPr>
          <w:b/>
          <w:bCs/>
        </w:rPr>
        <w:t>e) Índice de vulnerabilidad:</w:t>
      </w:r>
      <w:r w:rsidRPr="00531DB2">
        <w:t xml:space="preserve"> Síntesis de condiciones estructurales que incrementan el riesgo social de los hogares y que pueden afectar su acceso a servicios públicos. </w:t>
      </w:r>
    </w:p>
    <w:p w14:paraId="381E2E93" w14:textId="78ED955D" w:rsidR="00093982" w:rsidRPr="00531DB2" w:rsidRDefault="00093982" w:rsidP="00093982">
      <w:pPr>
        <w:jc w:val="center"/>
      </w:pPr>
      <w:r w:rsidRPr="00531DB2">
        <w:rPr>
          <w:noProof/>
        </w:rPr>
        <w:lastRenderedPageBreak/>
        <w:drawing>
          <wp:inline distT="0" distB="0" distL="0" distR="0" wp14:anchorId="4D881A6E" wp14:editId="0A74271E">
            <wp:extent cx="1536192" cy="2349469"/>
            <wp:effectExtent l="0" t="0" r="6985" b="0"/>
            <wp:docPr id="3664102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10235" name="Imagen 1" descr="Interfaz de usuario gráfica&#10;&#10;El contenido generado por IA puede ser incorrecto."/>
                    <pic:cNvPicPr/>
                  </pic:nvPicPr>
                  <pic:blipFill>
                    <a:blip r:embed="rId28"/>
                    <a:stretch>
                      <a:fillRect/>
                    </a:stretch>
                  </pic:blipFill>
                  <pic:spPr>
                    <a:xfrm>
                      <a:off x="0" y="0"/>
                      <a:ext cx="1539809" cy="2355000"/>
                    </a:xfrm>
                    <a:prstGeom prst="rect">
                      <a:avLst/>
                    </a:prstGeom>
                  </pic:spPr>
                </pic:pic>
              </a:graphicData>
            </a:graphic>
          </wp:inline>
        </w:drawing>
      </w:r>
    </w:p>
    <w:p w14:paraId="0CB0DE91" w14:textId="7D5BD663" w:rsidR="00350109" w:rsidRPr="00531DB2" w:rsidRDefault="001C1C03" w:rsidP="001C1C03">
      <w:r w:rsidRPr="00531DB2">
        <w:rPr>
          <w:b/>
          <w:bCs/>
        </w:rPr>
        <w:t xml:space="preserve">Tabla </w:t>
      </w:r>
      <w:r w:rsidR="008E4BB9" w:rsidRPr="00531DB2">
        <w:rPr>
          <w:b/>
          <w:bCs/>
        </w:rPr>
        <w:t>7</w:t>
      </w:r>
      <w:r w:rsidRPr="00531DB2">
        <w:rPr>
          <w:b/>
          <w:bCs/>
        </w:rPr>
        <w:t>.</w:t>
      </w:r>
      <w:r w:rsidRPr="00531DB2">
        <w:t xml:space="preserve"> Estadísticas descriptivas de la variable </w:t>
      </w:r>
      <w:r w:rsidR="008E4BB9" w:rsidRPr="00531DB2">
        <w:t>índice de vulnerabilidad</w:t>
      </w:r>
      <w:r w:rsidRPr="00531DB2">
        <w:t xml:space="preserve"> </w:t>
      </w:r>
    </w:p>
    <w:p w14:paraId="3EC6F830" w14:textId="6317B9AC" w:rsidR="00350109" w:rsidRPr="00531DB2" w:rsidRDefault="001C1C03" w:rsidP="001C1C03">
      <w:r w:rsidRPr="00531DB2">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w:t>
      </w:r>
    </w:p>
    <w:p w14:paraId="7903E8D9" w14:textId="72BB1946" w:rsidR="00093982" w:rsidRPr="00531DB2" w:rsidRDefault="006A7AB9" w:rsidP="006A7AB9">
      <w:pPr>
        <w:jc w:val="center"/>
      </w:pPr>
      <w:r w:rsidRPr="00531DB2">
        <w:rPr>
          <w:noProof/>
        </w:rPr>
        <w:drawing>
          <wp:inline distT="0" distB="0" distL="0" distR="0" wp14:anchorId="2ED02985" wp14:editId="34CBA3AB">
            <wp:extent cx="4503761" cy="1541586"/>
            <wp:effectExtent l="0" t="0" r="0" b="1905"/>
            <wp:docPr id="79837435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359" cy="1544187"/>
                    </a:xfrm>
                    <a:prstGeom prst="rect">
                      <a:avLst/>
                    </a:prstGeom>
                    <a:noFill/>
                  </pic:spPr>
                </pic:pic>
              </a:graphicData>
            </a:graphic>
          </wp:inline>
        </w:drawing>
      </w:r>
    </w:p>
    <w:p w14:paraId="1FF0C7E2" w14:textId="7A88A1E1" w:rsidR="00350109" w:rsidRPr="00531DB2" w:rsidRDefault="001C1C03" w:rsidP="00350109">
      <w:pPr>
        <w:jc w:val="center"/>
      </w:pPr>
      <w:r w:rsidRPr="00531DB2">
        <w:rPr>
          <w:b/>
          <w:bCs/>
        </w:rPr>
        <w:t xml:space="preserve">Tabla </w:t>
      </w:r>
      <w:r w:rsidR="008E4BB9" w:rsidRPr="00531DB2">
        <w:rPr>
          <w:b/>
          <w:bCs/>
        </w:rPr>
        <w:t>8</w:t>
      </w:r>
      <w:r w:rsidRPr="00531DB2">
        <w:rPr>
          <w:b/>
          <w:bCs/>
        </w:rPr>
        <w:t>.</w:t>
      </w:r>
      <w:r w:rsidRPr="00531DB2">
        <w:t xml:space="preserve"> Estadísticas descriptivas de la variable dependiente-carencia de servicios públicos. Descripción categórica de la variable.</w:t>
      </w:r>
    </w:p>
    <w:p w14:paraId="07830603" w14:textId="77777777" w:rsidR="00077E16" w:rsidRPr="00531DB2" w:rsidRDefault="001C1C03" w:rsidP="001C1C03">
      <w:r w:rsidRPr="00531DB2">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w:t>
      </w:r>
      <w:r w:rsidRPr="00531DB2">
        <w:lastRenderedPageBreak/>
        <w:t xml:space="preserve">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7C61E0E1" w:rsidR="001C1C03" w:rsidRPr="00531DB2" w:rsidRDefault="001C1C03" w:rsidP="001C1C03">
      <w:r w:rsidRPr="00531DB2">
        <w:t xml:space="preserve">Al examinar en detalle el índice de vulnerabilidad (Figura 8), se observa que corresponde a una variable categórica con valores que van de 0 a </w:t>
      </w:r>
      <w:r w:rsidR="007B7AC1" w:rsidRPr="00531DB2">
        <w:t>3</w:t>
      </w:r>
      <w:r w:rsidRPr="00531DB2">
        <w:t>,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775E88B3" w14:textId="107FA926" w:rsidR="0089393B" w:rsidRPr="00531DB2" w:rsidRDefault="002746D0" w:rsidP="002746D0">
      <w:pPr>
        <w:jc w:val="center"/>
      </w:pPr>
      <w:r w:rsidRPr="00531DB2">
        <w:rPr>
          <w:noProof/>
        </w:rPr>
        <w:drawing>
          <wp:inline distT="0" distB="0" distL="0" distR="0" wp14:anchorId="0D1D31A2" wp14:editId="0C88E3D6">
            <wp:extent cx="4374108" cy="2363955"/>
            <wp:effectExtent l="0" t="0" r="7620" b="0"/>
            <wp:docPr id="1028231611" name="Imagen 2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1611" name="Imagen 20" descr="Gráfico&#10;&#10;El contenido generado por IA puede ser incorrect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9929"/>
                    <a:stretch>
                      <a:fillRect/>
                    </a:stretch>
                  </pic:blipFill>
                  <pic:spPr bwMode="auto">
                    <a:xfrm>
                      <a:off x="0" y="0"/>
                      <a:ext cx="4380932" cy="2367643"/>
                    </a:xfrm>
                    <a:prstGeom prst="rect">
                      <a:avLst/>
                    </a:prstGeom>
                    <a:noFill/>
                    <a:ln>
                      <a:noFill/>
                    </a:ln>
                    <a:extLst>
                      <a:ext uri="{53640926-AAD7-44D8-BBD7-CCE9431645EC}">
                        <a14:shadowObscured xmlns:a14="http://schemas.microsoft.com/office/drawing/2010/main"/>
                      </a:ext>
                    </a:extLst>
                  </pic:spPr>
                </pic:pic>
              </a:graphicData>
            </a:graphic>
          </wp:inline>
        </w:drawing>
      </w:r>
    </w:p>
    <w:p w14:paraId="2C51376F" w14:textId="7BD630C9" w:rsidR="00344B2D" w:rsidRPr="00531DB2" w:rsidRDefault="00077E16" w:rsidP="00344B2D">
      <w:pPr>
        <w:jc w:val="center"/>
      </w:pPr>
      <w:r w:rsidRPr="00531DB2">
        <w:rPr>
          <w:b/>
          <w:bCs/>
        </w:rPr>
        <w:t>Figura 8.</w:t>
      </w:r>
      <w:r w:rsidRPr="00531DB2">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531DB2" w:rsidRDefault="00344B2D" w:rsidP="00344B2D">
      <w:pPr>
        <w:rPr>
          <w:b/>
          <w:bCs/>
        </w:rPr>
      </w:pPr>
      <w:r w:rsidRPr="00531DB2">
        <w:rPr>
          <w:b/>
          <w:bCs/>
        </w:rPr>
        <w:t xml:space="preserve">1.2.4 Análisis agregado y relación entre variables </w:t>
      </w:r>
    </w:p>
    <w:p w14:paraId="09381A99" w14:textId="77777777" w:rsidR="00344B2D" w:rsidRPr="00531DB2" w:rsidRDefault="00344B2D" w:rsidP="00344B2D">
      <w:r w:rsidRPr="00531DB2">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531DB2" w:rsidRDefault="00344B2D" w:rsidP="00344B2D">
      <w:r w:rsidRPr="00531DB2">
        <w:lastRenderedPageBreak/>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1F473AE" w:rsidR="00344B2D" w:rsidRPr="00531DB2" w:rsidRDefault="00344B2D" w:rsidP="00344B2D">
      <w:r w:rsidRPr="00531DB2">
        <w:t xml:space="preserve">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o víctimas de violencia. </w:t>
      </w:r>
    </w:p>
    <w:p w14:paraId="521AC984" w14:textId="3658090B" w:rsidR="0079287A" w:rsidRPr="00531DB2" w:rsidRDefault="00E1567E" w:rsidP="00E1567E">
      <w:pPr>
        <w:jc w:val="center"/>
      </w:pPr>
      <w:r w:rsidRPr="00531DB2">
        <w:drawing>
          <wp:inline distT="0" distB="0" distL="0" distR="0" wp14:anchorId="1B2A4470" wp14:editId="6A5FBA6B">
            <wp:extent cx="4008474" cy="2806113"/>
            <wp:effectExtent l="0" t="0" r="0" b="0"/>
            <wp:docPr id="1328965255"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65255" name="Imagen 2" descr="Gráfico&#10;&#10;El contenido generado por IA puede ser incorrecto."/>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15998" cy="2811380"/>
                    </a:xfrm>
                    <a:prstGeom prst="rect">
                      <a:avLst/>
                    </a:prstGeom>
                    <a:noFill/>
                    <a:ln>
                      <a:noFill/>
                    </a:ln>
                  </pic:spPr>
                </pic:pic>
              </a:graphicData>
            </a:graphic>
          </wp:inline>
        </w:drawing>
      </w:r>
    </w:p>
    <w:p w14:paraId="29703CFF" w14:textId="5C2B0087" w:rsidR="00344B2D" w:rsidRPr="00531DB2" w:rsidRDefault="00344B2D" w:rsidP="00344B2D">
      <w:pPr>
        <w:jc w:val="center"/>
      </w:pPr>
      <w:r w:rsidRPr="00531DB2">
        <w:rPr>
          <w:b/>
          <w:bCs/>
        </w:rPr>
        <w:t>Figura 9.</w:t>
      </w:r>
      <w:r w:rsidRPr="00531DB2">
        <w:t xml:space="preserve"> Distribución de carencias en servicios por condición de vulnerabilidad del hogar. Fuente: Evaluación Conjunta de Necesidades. Elaboración propia.</w:t>
      </w:r>
    </w:p>
    <w:p w14:paraId="10248BE4" w14:textId="462C1B91" w:rsidR="001B5D4A" w:rsidRPr="00531DB2" w:rsidRDefault="001B5D4A" w:rsidP="001B5D4A">
      <w:r w:rsidRPr="00531DB2">
        <w:t xml:space="preserve">El Gráfico 10 presenta la distribución porcentual de los hogares según su nivel de vulnerabilidad y el número de carencias en servicios básicos. El índice de vulnerabilidad varía entre 0 (hogares sin condiciones de vulnerabilidad) y 3 (hogares con tres condiciones simultáneas). En primer lugar, se observa que la ausencia de vulnerabilidades no garantiza un acceso pleno a los servicios básicos. Entre los hogares sin vulnerabilidad (índice 0), solo el 36,8 % no presenta carencias, mientras que un 29,3 % tiene al menos una y un 11,2 % </w:t>
      </w:r>
      <w:r w:rsidRPr="00531DB2">
        <w:lastRenderedPageBreak/>
        <w:t>acumula cuatro. Este hallazgo evidencia que, aun en contextos de baja vulnerabilidad, persisten brechas estructurales en la provisión de servicios públicos.</w:t>
      </w:r>
    </w:p>
    <w:p w14:paraId="4D3AE14F" w14:textId="203ADB65" w:rsidR="001B5D4A" w:rsidRPr="00531DB2" w:rsidRDefault="001B5D4A" w:rsidP="001B5D4A">
      <w:r w:rsidRPr="00531DB2">
        <w:t>Entre los hogares con una condición de vulnerabilidad (índice 1), la proporción sin carencias aumenta a 42,8 %, lo que podría indicar cierta capacidad de resiliencia. Sin embargo, también crece la participación de aquellos con cuatro carencias (13,2 %), lo que revela una mayor polarización interna: mientras algunos hogares mantienen acceso adecuado a los servicios, otros enfrentan múltiples privaciones.</w:t>
      </w:r>
    </w:p>
    <w:p w14:paraId="0B7C3834" w14:textId="57FFABA1" w:rsidR="001B5D4A" w:rsidRPr="00531DB2" w:rsidRDefault="001B5D4A" w:rsidP="001B5D4A">
      <w:r w:rsidRPr="00531DB2">
        <w:t>En el caso de los hogares con dos condiciones de vulnerabilidad (índice 2), predomina una acumulación intermedia de carencias: el 61 % presenta al menos una y el 21,7 % acumula dos. Esto sugiere que, conforme aumenta la vulnerabilidad, la exposición a limitaciones en servicios esenciales se vuelve más generalizada. Finalmente, los hogares con tres condiciones de vulnerabilidad (índice 3) exhiben el panorama más crítico. Solo el 17,6 % no presenta carencias, mientras que el 57,5 % enfrenta al menos una y un 13,4 % acumula cuatro. Este patrón refuerza la necesidad de focalizar las intervenciones públicas en los hogares con mayor acumulación de vulnerabilidades, que son los más propensos a situaciones de exclusión en el acceso a servicios básicos.</w:t>
      </w:r>
    </w:p>
    <w:p w14:paraId="62448153" w14:textId="319853A8" w:rsidR="001B5D4A" w:rsidRPr="00531DB2" w:rsidRDefault="001B5D4A" w:rsidP="001B5D4A">
      <w:r w:rsidRPr="00531DB2">
        <w:t>Aunque se esperaría una relación estrictamente creciente entre el número de vulnerabilidades y las carencias, los resultados no muestran un patrón completamente monotónico. Esto podría explicarse por el tamaño reducido de los grupos con mayor vulnerabilidad, que limita la variabilidad estadística, o por la existencia de apoyos institucionales y comunitarios que mitigan parcialmente las privaciones. Por lo tanto, los resultados sugieren que la vulnerabilidad social no se traduce linealmente en privación material, sino que depende de factores contextuales y de protección social que ameritan un análisis más detallado.</w:t>
      </w:r>
    </w:p>
    <w:p w14:paraId="60048DE5" w14:textId="17610323" w:rsidR="004B41A8" w:rsidRPr="00531DB2" w:rsidRDefault="004B41A8" w:rsidP="004B41A8">
      <w:pPr>
        <w:jc w:val="center"/>
      </w:pPr>
      <w:r w:rsidRPr="00531DB2">
        <w:rPr>
          <w:noProof/>
        </w:rPr>
        <w:lastRenderedPageBreak/>
        <w:drawing>
          <wp:inline distT="0" distB="0" distL="0" distR="0" wp14:anchorId="1059CC70" wp14:editId="0CD4E7A8">
            <wp:extent cx="5124893" cy="3727406"/>
            <wp:effectExtent l="0" t="0" r="0" b="6985"/>
            <wp:docPr id="1256032963"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2963" name="Imagen 2" descr="Gráfico&#10;&#10;El contenido generado por IA puede ser incorrect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9359" cy="3730655"/>
                    </a:xfrm>
                    <a:prstGeom prst="rect">
                      <a:avLst/>
                    </a:prstGeom>
                    <a:noFill/>
                    <a:ln>
                      <a:noFill/>
                    </a:ln>
                  </pic:spPr>
                </pic:pic>
              </a:graphicData>
            </a:graphic>
          </wp:inline>
        </w:drawing>
      </w:r>
    </w:p>
    <w:p w14:paraId="257D064E" w14:textId="7C0C436B" w:rsidR="0079287A" w:rsidRPr="00531DB2" w:rsidRDefault="0079287A" w:rsidP="001B5D4A"/>
    <w:p w14:paraId="60F10650" w14:textId="14FAE25E" w:rsidR="00344B2D" w:rsidRPr="00531DB2" w:rsidRDefault="00344B2D" w:rsidP="00077E16">
      <w:pPr>
        <w:jc w:val="center"/>
      </w:pPr>
      <w:r w:rsidRPr="00531DB2">
        <w:rPr>
          <w:b/>
          <w:bCs/>
        </w:rPr>
        <w:t>Figura 10.</w:t>
      </w:r>
      <w:r w:rsidRPr="00531DB2">
        <w:t xml:space="preserve"> Distribución porcentual de hogares según la vulnerabilidad y el número de carencias en servicios básicos. Fuente: Evaluación Conjunta de Necesidades. Elaboración propia.</w:t>
      </w:r>
    </w:p>
    <w:p w14:paraId="2E9601B5" w14:textId="77777777" w:rsidR="00344B2D" w:rsidRPr="00531DB2" w:rsidRDefault="00344B2D" w:rsidP="00077E16">
      <w:pPr>
        <w:jc w:val="center"/>
      </w:pPr>
    </w:p>
    <w:p w14:paraId="79467A9B" w14:textId="558BB1DA" w:rsidR="00901C2B" w:rsidRPr="00531DB2" w:rsidRDefault="000221A7" w:rsidP="000221A7">
      <w:pPr>
        <w:pStyle w:val="Ttulo1"/>
      </w:pPr>
      <w:r w:rsidRPr="00531DB2">
        <w:t>Parte 2: Evidencia empírica y estimación</w:t>
      </w:r>
    </w:p>
    <w:p w14:paraId="7CB9FD91" w14:textId="3479AA0F" w:rsidR="00A34B03" w:rsidRPr="00531DB2" w:rsidRDefault="00A34B03" w:rsidP="00A34B03">
      <w:pPr>
        <w:pStyle w:val="Ttulo2"/>
      </w:pPr>
      <w:r w:rsidRPr="00531DB2">
        <w:t>Diseño del contraste estadístico</w:t>
      </w:r>
    </w:p>
    <w:p w14:paraId="7D795B00" w14:textId="77777777" w:rsidR="007B1ECD" w:rsidRPr="00531DB2" w:rsidRDefault="000221A7" w:rsidP="00411882">
      <w:pPr>
        <w:pStyle w:val="Prrafodelista"/>
        <w:numPr>
          <w:ilvl w:val="0"/>
          <w:numId w:val="5"/>
        </w:numPr>
      </w:pPr>
      <w:commentRangeStart w:id="4"/>
      <w:r w:rsidRPr="00531DB2">
        <w:t xml:space="preserve">Seleccionar la prueba de acuerdo con la situación </w:t>
      </w:r>
    </w:p>
    <w:p w14:paraId="1A5E5B31" w14:textId="3B6BBA2E" w:rsidR="007B1ECD" w:rsidRPr="00531DB2" w:rsidRDefault="000221A7" w:rsidP="00411882">
      <w:pPr>
        <w:pStyle w:val="Prrafodelista"/>
        <w:numPr>
          <w:ilvl w:val="0"/>
          <w:numId w:val="5"/>
        </w:numPr>
      </w:pPr>
      <w:r w:rsidRPr="00531DB2">
        <w:t xml:space="preserve">Explicar brevemente qué se está comparando </w:t>
      </w:r>
      <w:r w:rsidR="00A34B03" w:rsidRPr="00531DB2">
        <w:t>y cuál sería la expectativa teórica o empírica según el hecho estilizad</w:t>
      </w:r>
      <w:r w:rsidR="005C5E05" w:rsidRPr="00531DB2">
        <w:t>o</w:t>
      </w:r>
      <w:r w:rsidR="00A34B03" w:rsidRPr="00531DB2">
        <w:t xml:space="preserve"> que se desea comprobar.</w:t>
      </w:r>
    </w:p>
    <w:p w14:paraId="0C7229E0" w14:textId="7D5AAAFB" w:rsidR="00A34B03" w:rsidRPr="00531DB2" w:rsidRDefault="00A34B03" w:rsidP="00411882">
      <w:pPr>
        <w:pStyle w:val="Prrafodelista"/>
        <w:numPr>
          <w:ilvl w:val="0"/>
          <w:numId w:val="5"/>
        </w:numPr>
      </w:pPr>
      <w:r w:rsidRPr="00531DB2">
        <w:t>Señale si el contraste es bilateral o unilateral y cuál sería la dirección esperada del</w:t>
      </w:r>
    </w:p>
    <w:p w14:paraId="5D05585C" w14:textId="74F7FB6D" w:rsidR="00A34B03" w:rsidRPr="00531DB2" w:rsidRDefault="00A34B03" w:rsidP="00A34B03">
      <w:pPr>
        <w:pStyle w:val="Prrafodelista"/>
      </w:pPr>
      <w:r w:rsidRPr="00531DB2">
        <w:t xml:space="preserve">efecto. Esto en línea con lo encontrado en el EDA. </w:t>
      </w:r>
      <w:commentRangeEnd w:id="4"/>
      <w:r w:rsidR="00617004" w:rsidRPr="00531DB2">
        <w:rPr>
          <w:rStyle w:val="Refdecomentario"/>
          <w:sz w:val="24"/>
          <w:szCs w:val="24"/>
        </w:rPr>
        <w:commentReference w:id="4"/>
      </w:r>
    </w:p>
    <w:p w14:paraId="5C54152A" w14:textId="77777777" w:rsidR="004B65C7" w:rsidRPr="00531DB2" w:rsidRDefault="004B65C7" w:rsidP="00470DC2">
      <w:pPr>
        <w:rPr>
          <w:highlight w:val="yellow"/>
        </w:rPr>
      </w:pPr>
      <w:r w:rsidRPr="00531DB2">
        <w:rPr>
          <w:highlight w:val="yellow"/>
        </w:rPr>
        <w:t xml:space="preserve">Para responder a la pregunta de investigación se plantea una hipótesis </w:t>
      </w:r>
      <w:commentRangeStart w:id="6"/>
      <w:commentRangeStart w:id="7"/>
      <w:r w:rsidRPr="00531DB2">
        <w:rPr>
          <w:highlight w:val="yellow"/>
        </w:rPr>
        <w:t>unilateral</w:t>
      </w:r>
      <w:commentRangeEnd w:id="6"/>
      <w:r w:rsidR="00546891" w:rsidRPr="00531DB2">
        <w:rPr>
          <w:rStyle w:val="Refdecomentario"/>
          <w:sz w:val="24"/>
          <w:szCs w:val="24"/>
        </w:rPr>
        <w:commentReference w:id="6"/>
      </w:r>
      <w:commentRangeEnd w:id="7"/>
      <w:r w:rsidR="007C47F2" w:rsidRPr="00531DB2">
        <w:rPr>
          <w:rStyle w:val="Refdecomentario"/>
          <w:sz w:val="24"/>
          <w:szCs w:val="24"/>
        </w:rPr>
        <w:commentReference w:id="7"/>
      </w:r>
      <w:r w:rsidRPr="00531DB2">
        <w:rPr>
          <w:highlight w:val="yellow"/>
        </w:rPr>
        <w:t xml:space="preserve">,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w:t>
      </w:r>
      <w:r w:rsidRPr="00531DB2">
        <w:rPr>
          <w:highlight w:val="yellow"/>
        </w:rPr>
        <w:lastRenderedPageBreak/>
        <w:t>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531DB2" w:rsidRDefault="004B65C7" w:rsidP="00470DC2">
      <w:pPr>
        <w:rPr>
          <w:highlight w:val="yellow"/>
        </w:rPr>
      </w:pPr>
      <w:r w:rsidRPr="00531DB2">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531DB2" w:rsidRDefault="00925F95" w:rsidP="00470DC2">
      <w:pPr>
        <w:rPr>
          <w:highlight w:val="yellow"/>
        </w:rPr>
      </w:pPr>
      <w:r w:rsidRPr="00531DB2">
        <w:rPr>
          <w:highlight w:val="yellow"/>
        </w:rPr>
        <w:t xml:space="preserve">Es así como para operacionalizar la pregunta, se deben clasificar los países en grupos discretos como ‘altos ingresos’ y ‘bajos ingresos’ </w:t>
      </w:r>
      <w:r w:rsidR="00B46DAE" w:rsidRPr="00531DB2">
        <w:rPr>
          <w:highlight w:val="yellow"/>
        </w:rPr>
        <w:t xml:space="preserve">y </w:t>
      </w:r>
      <w:r w:rsidR="00062C9F" w:rsidRPr="00531DB2">
        <w:rPr>
          <w:highlight w:val="yellow"/>
        </w:rPr>
        <w:t>la medida que proponemos para determinar un punto de corte</w:t>
      </w:r>
      <w:r w:rsidR="00B46DAE" w:rsidRPr="00531DB2">
        <w:rPr>
          <w:highlight w:val="yellow"/>
        </w:rPr>
        <w:t xml:space="preserve"> sería la median</w:t>
      </w:r>
      <w:r w:rsidR="008A745A" w:rsidRPr="00531DB2">
        <w:rPr>
          <w:highlight w:val="yellow"/>
        </w:rPr>
        <w:t>a</w:t>
      </w:r>
      <w:r w:rsidR="00825D56" w:rsidRPr="00531DB2">
        <w:rPr>
          <w:highlight w:val="yellow"/>
        </w:rPr>
        <w:t xml:space="preserve">, considerando </w:t>
      </w:r>
      <w:r w:rsidR="00062C9F" w:rsidRPr="00531DB2">
        <w:rPr>
          <w:highlight w:val="yellow"/>
        </w:rPr>
        <w:t xml:space="preserve">la distribución sesgada a la derecha de la variable de ingreso per cápita. </w:t>
      </w:r>
    </w:p>
    <w:p w14:paraId="56EAEB4F" w14:textId="70FDEE34" w:rsidR="004B65C7" w:rsidRPr="00531DB2" w:rsidRDefault="00DC4C05" w:rsidP="00470DC2">
      <w:pPr>
        <w:rPr>
          <w:highlight w:val="yellow"/>
        </w:rPr>
      </w:pPr>
      <w:r w:rsidRPr="00531DB2">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531DB2">
        <w:rPr>
          <w:highlight w:val="yellow"/>
        </w:rPr>
        <w:t xml:space="preserve">on base en este objetivo, se </w:t>
      </w:r>
      <w:r w:rsidR="00480B95" w:rsidRPr="00531DB2">
        <w:rPr>
          <w:highlight w:val="yellow"/>
        </w:rPr>
        <w:t xml:space="preserve">formulan las siguientes hipótesis: </w:t>
      </w:r>
    </w:p>
    <w:p w14:paraId="0CD52CBF" w14:textId="3E08BA6A" w:rsidR="00480B95" w:rsidRPr="00531DB2"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531DB2"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531DB2" w:rsidRDefault="00480B95" w:rsidP="00470DC2">
      <w:pPr>
        <w:rPr>
          <w:highlight w:val="yellow"/>
          <w:lang w:val="en-US"/>
        </w:rPr>
      </w:pPr>
      <w:r w:rsidRPr="00531DB2">
        <w:rPr>
          <w:highlight w:val="yellow"/>
          <w:lang w:val="en-US"/>
        </w:rPr>
        <w:t>Donde:</w:t>
      </w:r>
    </w:p>
    <w:p w14:paraId="2459B647" w14:textId="048DCEBB" w:rsidR="00480B95" w:rsidRPr="00531DB2"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531DB2">
        <w:rPr>
          <w:highlight w:val="yellow"/>
        </w:rPr>
        <w:t>representa la media de emisiones de CO₂ per cápita en los países de altos ingresos</w:t>
      </w:r>
    </w:p>
    <w:p w14:paraId="20B28F45" w14:textId="7B011E5B" w:rsidR="00480B95" w:rsidRPr="00531DB2"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531DB2">
        <w:rPr>
          <w:highlight w:val="yellow"/>
        </w:rPr>
        <w:t>representa la media correspondiente a los países de bajos ingresos.</w:t>
      </w:r>
    </w:p>
    <w:p w14:paraId="05C9B0B5" w14:textId="4E4A3218" w:rsidR="006B32CA" w:rsidRPr="00531DB2" w:rsidRDefault="00825D56" w:rsidP="00470DC2">
      <w:r w:rsidRPr="00531DB2">
        <w:rPr>
          <w:rFonts w:eastAsiaTheme="minorEastAsia"/>
          <w:highlight w:val="yellow"/>
        </w:rPr>
        <w:t>Siendo la hipótesis nula</w:t>
      </w:r>
      <w:r w:rsidR="00D076C2" w:rsidRPr="00531DB2">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531DB2">
        <w:rPr>
          <w:rFonts w:eastAsiaTheme="minorEastAsia"/>
          <w:highlight w:val="yellow"/>
        </w:rPr>
        <w:t>)</w:t>
      </w:r>
      <w:r w:rsidRPr="00531DB2">
        <w:rPr>
          <w:rFonts w:eastAsiaTheme="minorEastAsia"/>
          <w:highlight w:val="yellow"/>
        </w:rPr>
        <w:t xml:space="preserve"> </w:t>
      </w:r>
      <w:r w:rsidR="000E60CE" w:rsidRPr="00531DB2">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531DB2">
        <w:rPr>
          <w:rFonts w:eastAsiaTheme="minorEastAsia"/>
          <w:highlight w:val="yellow"/>
        </w:rPr>
        <w:t xml:space="preserve">Es así como la hipótesis nula en este caso establece que la </w:t>
      </w:r>
      <w:r w:rsidR="00E54C49" w:rsidRPr="00531DB2">
        <w:rPr>
          <w:rFonts w:eastAsiaTheme="minorEastAsia"/>
          <w:highlight w:val="yellow"/>
        </w:rPr>
        <w:t>media</w:t>
      </w:r>
      <w:r w:rsidR="008D5422" w:rsidRPr="00531DB2">
        <w:rPr>
          <w:rFonts w:eastAsiaTheme="minorEastAsia"/>
          <w:highlight w:val="yellow"/>
        </w:rPr>
        <w:t xml:space="preserve"> de las emisiones per cápita de los países con ingreso alto es </w:t>
      </w:r>
      <w:r w:rsidR="00A745F0" w:rsidRPr="00531DB2">
        <w:rPr>
          <w:rFonts w:eastAsiaTheme="minorEastAsia"/>
          <w:highlight w:val="yellow"/>
        </w:rPr>
        <w:t xml:space="preserve">menor o igual a la del grupo con ingresos bajos, determinando que </w:t>
      </w:r>
      <w:r w:rsidR="006B32CA" w:rsidRPr="00531DB2">
        <w:rPr>
          <w:rFonts w:eastAsiaTheme="minorEastAsia"/>
          <w:highlight w:val="yellow"/>
        </w:rPr>
        <w:t xml:space="preserve">la riqueza no conduce a mayores emisiones. </w:t>
      </w:r>
      <w:r w:rsidR="004538D9" w:rsidRPr="00531DB2">
        <w:rPr>
          <w:rFonts w:eastAsiaTheme="minorEastAsia"/>
          <w:highlight w:val="yellow"/>
        </w:rPr>
        <w:t xml:space="preserve"> </w:t>
      </w:r>
      <w:r w:rsidR="006B32CA" w:rsidRPr="00531DB2">
        <w:rPr>
          <w:rFonts w:eastAsiaTheme="minorEastAsia"/>
          <w:highlight w:val="yellow"/>
        </w:rPr>
        <w:t>Por su parte, la hipótesis alternativa</w:t>
      </w:r>
      <w:r w:rsidR="00D076C2" w:rsidRPr="00531DB2">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531DB2">
        <w:rPr>
          <w:rFonts w:eastAsiaTheme="minorEastAsia"/>
          <w:highlight w:val="yellow"/>
        </w:rPr>
        <w:t>)</w:t>
      </w:r>
      <w:r w:rsidR="006B32CA" w:rsidRPr="00531DB2">
        <w:rPr>
          <w:rFonts w:eastAsiaTheme="minorEastAsia"/>
          <w:highlight w:val="yellow"/>
        </w:rPr>
        <w:t xml:space="preserve"> representa la afirmación que como investigadores buscamos respaldar con evidencia estadística, siendo en este caso </w:t>
      </w:r>
      <w:r w:rsidR="00EC790C" w:rsidRPr="00531DB2">
        <w:rPr>
          <w:rFonts w:eastAsiaTheme="minorEastAsia"/>
          <w:highlight w:val="yellow"/>
        </w:rPr>
        <w:t xml:space="preserve">la afirmación de que los países de ingreso alto tienen en efecto una </w:t>
      </w:r>
      <w:r w:rsidR="00E54C49" w:rsidRPr="00531DB2">
        <w:rPr>
          <w:rFonts w:eastAsiaTheme="minorEastAsia"/>
          <w:highlight w:val="yellow"/>
        </w:rPr>
        <w:t>media</w:t>
      </w:r>
      <w:r w:rsidR="00EC790C" w:rsidRPr="00531DB2">
        <w:rPr>
          <w:rFonts w:eastAsiaTheme="minorEastAsia"/>
          <w:highlight w:val="yellow"/>
        </w:rPr>
        <w:t xml:space="preserve"> de emisiones de </w:t>
      </w:r>
      <w:r w:rsidR="00EC790C" w:rsidRPr="00531DB2">
        <w:rPr>
          <w:highlight w:val="yellow"/>
        </w:rPr>
        <w:t>CO₂ per cápita significativamente mayor que la de los países de ingreso bajo.</w:t>
      </w:r>
      <w:r w:rsidR="00EC790C" w:rsidRPr="00531DB2">
        <w:t xml:space="preserve"> </w:t>
      </w:r>
    </w:p>
    <w:p w14:paraId="07BA49EC" w14:textId="6D7EBA31" w:rsidR="00A34B03" w:rsidRPr="00531DB2" w:rsidRDefault="00A34B03" w:rsidP="00A34B03">
      <w:pPr>
        <w:pStyle w:val="Ttulo2"/>
      </w:pPr>
      <w:commentRangeStart w:id="8"/>
      <w:r w:rsidRPr="00531DB2">
        <w:t xml:space="preserve">Revisar los supuestos y ejecutar la prueba </w:t>
      </w:r>
    </w:p>
    <w:p w14:paraId="4081A615" w14:textId="3C7B095E" w:rsidR="00A34B03" w:rsidRPr="00531DB2" w:rsidRDefault="008F3A94" w:rsidP="00411882">
      <w:pPr>
        <w:pStyle w:val="Prrafodelista"/>
        <w:numPr>
          <w:ilvl w:val="0"/>
          <w:numId w:val="4"/>
        </w:numPr>
        <w:rPr>
          <w:rFonts w:eastAsiaTheme="minorEastAsia"/>
        </w:rPr>
      </w:pPr>
      <w:r w:rsidRPr="00531DB2">
        <w:rPr>
          <w:rFonts w:eastAsiaTheme="minorEastAsia"/>
        </w:rPr>
        <w:t xml:space="preserve">Verifique las condiciones necesarias para aplicar la prueba elegida (normalidad, independencia, homogeneidad de varianzas, tamaño de muestra). En caso de que </w:t>
      </w:r>
      <w:r w:rsidRPr="00531DB2">
        <w:rPr>
          <w:rFonts w:eastAsiaTheme="minorEastAsia"/>
        </w:rPr>
        <w:lastRenderedPageBreak/>
        <w:t>alguna condición no se cumpla, justifique la prueba alternativa empleada o las transformaciones realizadas sobre los datos</w:t>
      </w:r>
    </w:p>
    <w:p w14:paraId="4DDBCB87" w14:textId="77777777" w:rsidR="007B1ECD" w:rsidRPr="00531DB2" w:rsidRDefault="008F3A94" w:rsidP="00411882">
      <w:pPr>
        <w:pStyle w:val="Prrafodelista"/>
        <w:numPr>
          <w:ilvl w:val="0"/>
          <w:numId w:val="4"/>
        </w:numPr>
        <w:rPr>
          <w:rFonts w:eastAsiaTheme="minorEastAsia"/>
        </w:rPr>
      </w:pPr>
      <w:r w:rsidRPr="00531DB2">
        <w:rPr>
          <w:rFonts w:eastAsiaTheme="minorEastAsia"/>
        </w:rPr>
        <w:t xml:space="preserve">Ejecutar la prueba y reporte de los resultados relevantes como el estadístico de prueba,  el intervalo de confianza estimado </w:t>
      </w:r>
    </w:p>
    <w:p w14:paraId="7FC5F039" w14:textId="27890043" w:rsidR="003C697C" w:rsidRPr="00531DB2" w:rsidRDefault="008F3A94" w:rsidP="00411882">
      <w:pPr>
        <w:pStyle w:val="Prrafodelista"/>
        <w:numPr>
          <w:ilvl w:val="0"/>
          <w:numId w:val="4"/>
        </w:numPr>
        <w:rPr>
          <w:rFonts w:eastAsiaTheme="minorEastAsia"/>
        </w:rPr>
      </w:pPr>
      <w:r w:rsidRPr="00531DB2">
        <w:rPr>
          <w:rFonts w:eastAsiaTheme="minorEastAsia"/>
        </w:rPr>
        <w:t xml:space="preserve">Reporte del valor p de la prueba de hipótesis y explicar la significancia en términos de riesgo de error tipo I </w:t>
      </w:r>
      <w:commentRangeEnd w:id="8"/>
      <w:r w:rsidR="005A3B7D" w:rsidRPr="00531DB2">
        <w:rPr>
          <w:rStyle w:val="Refdecomentario"/>
          <w:sz w:val="24"/>
          <w:szCs w:val="24"/>
        </w:rPr>
        <w:commentReference w:id="8"/>
      </w:r>
    </w:p>
    <w:p w14:paraId="78A17A31" w14:textId="414EB21A" w:rsidR="00520199" w:rsidRPr="00531DB2" w:rsidRDefault="000F0744" w:rsidP="00F80CE0">
      <w:pPr>
        <w:pStyle w:val="Ttulo1"/>
      </w:pPr>
      <w:r w:rsidRPr="00531DB2">
        <w:t xml:space="preserve">Parte </w:t>
      </w:r>
      <w:r w:rsidR="003C697C" w:rsidRPr="00531DB2">
        <w:t>3</w:t>
      </w:r>
      <w:r w:rsidRPr="00531DB2">
        <w:t xml:space="preserve">: </w:t>
      </w:r>
      <w:r w:rsidR="003C697C" w:rsidRPr="00531DB2">
        <w:t xml:space="preserve">Interpretación y comunicación de los resultados </w:t>
      </w:r>
    </w:p>
    <w:p w14:paraId="179EAB04" w14:textId="37FD89CC" w:rsidR="003C697C" w:rsidRPr="00531DB2" w:rsidRDefault="003C697C" w:rsidP="003C697C">
      <w:pPr>
        <w:pStyle w:val="Ttulo2"/>
      </w:pPr>
      <w:r w:rsidRPr="00531DB2">
        <w:t xml:space="preserve">Interpretación </w:t>
      </w:r>
    </w:p>
    <w:p w14:paraId="4817200D" w14:textId="32AD64AA" w:rsidR="003C697C" w:rsidRPr="00531DB2" w:rsidRDefault="003C697C" w:rsidP="00411882">
      <w:pPr>
        <w:pStyle w:val="Prrafodelista"/>
        <w:numPr>
          <w:ilvl w:val="0"/>
          <w:numId w:val="3"/>
        </w:numPr>
      </w:pPr>
      <w:commentRangeStart w:id="10"/>
      <w:r w:rsidRPr="00531DB2">
        <w:t xml:space="preserve">Verificar si el resultado de la prueba y el intervalo conducen a la misma conclusión </w:t>
      </w:r>
    </w:p>
    <w:p w14:paraId="1050F628" w14:textId="507DA3B7" w:rsidR="003C697C" w:rsidRPr="00531DB2" w:rsidRDefault="003C697C" w:rsidP="00411882">
      <w:pPr>
        <w:pStyle w:val="Prrafodelista"/>
        <w:numPr>
          <w:ilvl w:val="0"/>
          <w:numId w:val="3"/>
        </w:numPr>
      </w:pPr>
      <w:r w:rsidRPr="00531DB2">
        <w:t xml:space="preserve">Interpretar el resultado en relación con la hipótesis nula y con el contexto del análisis </w:t>
      </w:r>
    </w:p>
    <w:p w14:paraId="0373CBF7" w14:textId="25BAF351" w:rsidR="003C697C" w:rsidRPr="00531DB2" w:rsidRDefault="003C697C" w:rsidP="00411882">
      <w:pPr>
        <w:pStyle w:val="Prrafodelista"/>
        <w:numPr>
          <w:ilvl w:val="0"/>
          <w:numId w:val="3"/>
        </w:numPr>
      </w:pPr>
      <w:r w:rsidRPr="00531DB2">
        <w:t xml:space="preserve">Explicar qué implican los resultados en términos sustantivos: ¿qué nos dicen sobre el fenómeno estudiado? </w:t>
      </w:r>
      <w:commentRangeEnd w:id="10"/>
      <w:r w:rsidR="00504A5E" w:rsidRPr="00531DB2">
        <w:rPr>
          <w:rStyle w:val="Refdecomentario"/>
          <w:sz w:val="24"/>
          <w:szCs w:val="24"/>
        </w:rPr>
        <w:commentReference w:id="10"/>
      </w:r>
    </w:p>
    <w:p w14:paraId="165C8AC1" w14:textId="4A0974F5" w:rsidR="003C697C" w:rsidRPr="00531DB2" w:rsidRDefault="003C697C" w:rsidP="003C697C">
      <w:pPr>
        <w:pStyle w:val="Ttulo2"/>
      </w:pPr>
      <w:r w:rsidRPr="00531DB2">
        <w:t xml:space="preserve">Comunicación </w:t>
      </w:r>
    </w:p>
    <w:p w14:paraId="2625990A" w14:textId="11728EF0" w:rsidR="005C5E05" w:rsidRPr="00531DB2" w:rsidRDefault="007B1ECD" w:rsidP="007B1ECD">
      <w:commentRangeStart w:id="13"/>
      <w:r w:rsidRPr="00531DB2">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3"/>
      <w:r w:rsidR="0011542E" w:rsidRPr="00531DB2">
        <w:rPr>
          <w:rStyle w:val="Refdecomentario"/>
          <w:sz w:val="24"/>
          <w:szCs w:val="24"/>
        </w:rPr>
        <w:commentReference w:id="13"/>
      </w:r>
      <w:r w:rsidRPr="00531DB2">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531DB2" w:rsidRDefault="005C5E05" w:rsidP="00B1636D">
      <w:pPr>
        <w:pStyle w:val="Ttulo1"/>
      </w:pPr>
      <w:r w:rsidRPr="00531DB2">
        <w:t xml:space="preserve">Consistencia entre visualizaciones y la respuesta a la pregunta planteada </w:t>
      </w:r>
    </w:p>
    <w:p w14:paraId="4DACE32C" w14:textId="77777777" w:rsidR="005C5E05" w:rsidRPr="00531DB2" w:rsidRDefault="005C5E05" w:rsidP="00B1636D">
      <w:pPr>
        <w:pStyle w:val="Ttulo1"/>
      </w:pPr>
      <w:commentRangeStart w:id="15"/>
      <w:r w:rsidRPr="00531DB2">
        <w:t xml:space="preserve">Precisión y pertenencia de la respuesta planteada de acuerdo con la situación del contexto </w:t>
      </w:r>
    </w:p>
    <w:p w14:paraId="6BA3D989" w14:textId="484A1296" w:rsidR="005C5E05" w:rsidRPr="00531DB2" w:rsidRDefault="005C5E05" w:rsidP="00B1636D">
      <w:pPr>
        <w:pStyle w:val="Ttulo1"/>
      </w:pPr>
      <w:r w:rsidRPr="00531DB2">
        <w:t>Coherencia narrativa y argumentativa en las conclusiones</w:t>
      </w:r>
      <w:commentRangeEnd w:id="15"/>
      <w:r w:rsidR="00AA44A9" w:rsidRPr="00531DB2">
        <w:rPr>
          <w:rStyle w:val="Refdecomentario"/>
          <w:sz w:val="24"/>
          <w:szCs w:val="24"/>
        </w:rPr>
        <w:commentReference w:id="15"/>
      </w:r>
    </w:p>
    <w:p w14:paraId="3269FCD6" w14:textId="77777777" w:rsidR="005C5E05" w:rsidRPr="00531DB2" w:rsidRDefault="005C5E05" w:rsidP="00B1636D">
      <w:pPr>
        <w:pStyle w:val="Ttulo1"/>
      </w:pPr>
      <w:commentRangeStart w:id="18"/>
      <w:r w:rsidRPr="00531DB2">
        <w:t xml:space="preserve">Añadir una breve descripción de los principales ajustes realizados a partir de la retroalimentación recibida. </w:t>
      </w:r>
      <w:commentRangeEnd w:id="18"/>
      <w:r w:rsidR="006718B5" w:rsidRPr="00531DB2">
        <w:rPr>
          <w:rStyle w:val="Refdecomentario"/>
          <w:sz w:val="24"/>
          <w:szCs w:val="24"/>
        </w:rPr>
        <w:commentReference w:id="18"/>
      </w:r>
    </w:p>
    <w:p w14:paraId="4ADEEDC4" w14:textId="77777777" w:rsidR="00AF0B10" w:rsidRPr="00531DB2" w:rsidRDefault="00AF0B10" w:rsidP="00AF0B10">
      <w:r w:rsidRPr="00531DB2">
        <w:t>En respuesta a la retroalimentación recibida en el Taller 2, se implementaron los siguientes ajustes metodológicos y de formato, enfocados en robustecer la validez estadística y la presentación del análisis:</w:t>
      </w:r>
    </w:p>
    <w:p w14:paraId="65545350" w14:textId="77777777" w:rsidR="00AF0B10" w:rsidRPr="00531DB2" w:rsidRDefault="00AF0B10" w:rsidP="00AF0B10">
      <w:pPr>
        <w:rPr>
          <w:b/>
          <w:bCs/>
        </w:rPr>
      </w:pPr>
      <w:r w:rsidRPr="00531DB2">
        <w:rPr>
          <w:b/>
          <w:bCs/>
        </w:rPr>
        <w:t>1. Racionalización de Variables y Metodología</w:t>
      </w:r>
    </w:p>
    <w:p w14:paraId="6F0D1F78" w14:textId="77777777" w:rsidR="00AF0B10" w:rsidRPr="00AF0B10" w:rsidRDefault="00AF0B10" w:rsidP="00AF0B10">
      <w:pPr>
        <w:pStyle w:val="Prrafodelista"/>
        <w:numPr>
          <w:ilvl w:val="0"/>
          <w:numId w:val="11"/>
        </w:numPr>
      </w:pPr>
      <w:r w:rsidRPr="00AF0B10">
        <w:t xml:space="preserve">Exclusión de Variable "Discapacidad": Se verificó el análisis </w:t>
      </w:r>
      <w:proofErr w:type="spellStart"/>
      <w:r w:rsidRPr="00AF0B10">
        <w:t>univariado</w:t>
      </w:r>
      <w:proofErr w:type="spellEnd"/>
      <w:r w:rsidRPr="00AF0B10">
        <w:t xml:space="preserve"> de la variable "Hogar con Discapacidad". Dado que los resultados mostraron una fuerte predominancia de hogares sin esta condición, se determinó que no existía un aporte </w:t>
      </w:r>
      <w:r w:rsidRPr="00AF0B10">
        <w:lastRenderedPageBreak/>
        <w:t>significativo al Índice de Vulnerabilidad. Por consiguiente, la variable fue eliminada de la construcción final del índice.</w:t>
      </w:r>
    </w:p>
    <w:p w14:paraId="657D1EA6" w14:textId="77777777" w:rsidR="00AF0B10" w:rsidRPr="00AF0B10" w:rsidRDefault="00AF0B10" w:rsidP="00AF0B10">
      <w:pPr>
        <w:pStyle w:val="Prrafodelista"/>
        <w:numPr>
          <w:ilvl w:val="0"/>
          <w:numId w:val="11"/>
        </w:numPr>
      </w:pPr>
      <w:r w:rsidRPr="00AF0B10">
        <w:t>Profundización del Análisis de Vulnerabilidad: Se amplió el desarrollo interpretativo para cada variable, estableciendo explícitamente la relación entre el incremento en el número de carencias y el consecuente aumento en la vulnerabilidad cuantificada.</w:t>
      </w:r>
    </w:p>
    <w:p w14:paraId="0C0DC16A" w14:textId="77777777" w:rsidR="00AF0B10" w:rsidRPr="00AF0B10" w:rsidRDefault="00AF0B10" w:rsidP="00AF0B10">
      <w:pPr>
        <w:pStyle w:val="Prrafodelista"/>
        <w:numPr>
          <w:ilvl w:val="0"/>
          <w:numId w:val="11"/>
        </w:numPr>
      </w:pPr>
      <w:r w:rsidRPr="00AF0B10">
        <w:t xml:space="preserve">Inclusión de Notas Metodológicas: Se integraron notas de método detalladas en la presentación de cada estadística descriptiva del análisis </w:t>
      </w:r>
      <w:proofErr w:type="spellStart"/>
      <w:r w:rsidRPr="00AF0B10">
        <w:t>univariado</w:t>
      </w:r>
      <w:proofErr w:type="spellEnd"/>
      <w:r w:rsidRPr="00AF0B10">
        <w:t>. Estas notas especifican las reglas aplicadas para el tratamiento de valores perdidos (NA) y valores atípicos (</w:t>
      </w:r>
      <w:proofErr w:type="spellStart"/>
      <w:r w:rsidRPr="00AF0B10">
        <w:t>outliers</w:t>
      </w:r>
      <w:proofErr w:type="spellEnd"/>
      <w:r w:rsidRPr="00AF0B10">
        <w:t>), garantizando la transparencia metodológica.</w:t>
      </w:r>
    </w:p>
    <w:p w14:paraId="06C1C3B2" w14:textId="77777777" w:rsidR="00AF0B10" w:rsidRPr="00531DB2" w:rsidRDefault="00AF0B10" w:rsidP="00AF0B10">
      <w:pPr>
        <w:ind w:left="360"/>
        <w:rPr>
          <w:b/>
          <w:bCs/>
        </w:rPr>
      </w:pPr>
      <w:r w:rsidRPr="00531DB2">
        <w:rPr>
          <w:b/>
          <w:bCs/>
        </w:rPr>
        <w:t>2. Estandarización de la Presentación de Resultados</w:t>
      </w:r>
    </w:p>
    <w:p w14:paraId="527D4261" w14:textId="77777777" w:rsidR="00AF0B10" w:rsidRPr="00AF0B10" w:rsidRDefault="00AF0B10" w:rsidP="00AF0B10">
      <w:pPr>
        <w:pStyle w:val="Prrafodelista"/>
        <w:numPr>
          <w:ilvl w:val="0"/>
          <w:numId w:val="12"/>
        </w:numPr>
      </w:pPr>
      <w:r w:rsidRPr="00AF0B10">
        <w:t xml:space="preserve">Consistencia de Formato: Se realizaron ajustes en la mayoría de las tablas y gráficos para lograr una homogeneidad visual y estructural con las secciones iniciales del trabajo (Partes 1 a 3). (Nota: La aplicación de este ajuste a las tablas del análisis </w:t>
      </w:r>
      <w:proofErr w:type="spellStart"/>
      <w:r w:rsidRPr="00AF0B10">
        <w:t>univariado</w:t>
      </w:r>
      <w:proofErr w:type="spellEnd"/>
      <w:r w:rsidRPr="00AF0B10">
        <w:t xml:space="preserve"> está pendiente de implementación).</w:t>
      </w:r>
    </w:p>
    <w:p w14:paraId="2A685E5A" w14:textId="77777777" w:rsidR="00AF0B10" w:rsidRPr="00AF0B10" w:rsidRDefault="00AF0B10" w:rsidP="00AF0B10">
      <w:pPr>
        <w:pStyle w:val="Prrafodelista"/>
        <w:numPr>
          <w:ilvl w:val="0"/>
          <w:numId w:val="12"/>
        </w:numPr>
      </w:pPr>
      <w:r w:rsidRPr="00AF0B10">
        <w:t>Validación Estadística (Barras de Error): Se estandarizó la presentación gráfica mediante la inclusión de barras de error. Esta medida robustece la visualización de los resultados, confirmando que las diferencias observadas entre las condiciones de los hogares son diferencias reales y estadísticamente significativas (evidenciado por la ausencia de solapamiento en los intervalos de confianza).</w:t>
      </w:r>
    </w:p>
    <w:p w14:paraId="16436442" w14:textId="77777777" w:rsidR="005C5E05" w:rsidRPr="00531DB2" w:rsidRDefault="005C5E05" w:rsidP="005C5E05">
      <w:pPr>
        <w:pStyle w:val="Prrafodelista"/>
      </w:pPr>
    </w:p>
    <w:p w14:paraId="58BE11B7" w14:textId="27BC6566" w:rsidR="00FC622D" w:rsidRPr="00531DB2" w:rsidRDefault="00FC622D" w:rsidP="00FC622D">
      <w:pPr>
        <w:spacing w:after="0" w:afterAutospacing="0"/>
        <w:jc w:val="center"/>
      </w:pPr>
    </w:p>
    <w:bookmarkEnd w:id="0"/>
    <w:p w14:paraId="43257967" w14:textId="05951824" w:rsidR="000F3D66" w:rsidRPr="00531DB2" w:rsidRDefault="000F3D66" w:rsidP="00470DC2">
      <w:pPr>
        <w:rPr>
          <w:rFonts w:eastAsia="Helvetica"/>
        </w:rPr>
      </w:pPr>
    </w:p>
    <w:p w14:paraId="43CBC730" w14:textId="7BA5596C" w:rsidR="00BD7981" w:rsidRPr="00531DB2" w:rsidRDefault="00BD7981">
      <w:pPr>
        <w:spacing w:before="0" w:beforeAutospacing="0" w:after="160" w:afterAutospacing="0" w:line="259" w:lineRule="auto"/>
        <w:jc w:val="left"/>
        <w:rPr>
          <w:rFonts w:eastAsia="Helvetica"/>
        </w:rPr>
      </w:pPr>
      <w:r w:rsidRPr="00531DB2">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531DB2" w:rsidRDefault="00BD7981">
          <w:pPr>
            <w:pStyle w:val="Ttulo1"/>
          </w:pPr>
          <w:r w:rsidRPr="00531DB2">
            <w:rPr>
              <w:lang w:val="es-ES"/>
            </w:rPr>
            <w:t>Referencias</w:t>
          </w:r>
        </w:p>
        <w:sdt>
          <w:sdtPr>
            <w:id w:val="-573587230"/>
            <w:bibliography/>
          </w:sdtPr>
          <w:sdtContent>
            <w:p w14:paraId="69785C5E" w14:textId="77777777" w:rsidR="009866B9" w:rsidRPr="00531DB2" w:rsidRDefault="009866B9" w:rsidP="009866B9">
              <w:pPr>
                <w:pStyle w:val="Bibliografa"/>
                <w:spacing w:before="0" w:beforeAutospacing="0" w:after="0" w:afterAutospacing="0"/>
                <w:ind w:left="720" w:hanging="720"/>
              </w:pPr>
              <w:r w:rsidRPr="00531DB2">
                <w:t xml:space="preserve">Massey, D., Arango, J., Graeme, H., </w:t>
              </w:r>
              <w:proofErr w:type="spellStart"/>
              <w:r w:rsidRPr="00531DB2">
                <w:t>Kouaouci</w:t>
              </w:r>
              <w:proofErr w:type="spellEnd"/>
              <w:r w:rsidRPr="00531DB2">
                <w:t xml:space="preserve">, A., Pellegrino, A., &amp; Taylor, E. (1993). </w:t>
              </w:r>
            </w:p>
            <w:p w14:paraId="2B23F530" w14:textId="77777777" w:rsidR="009866B9" w:rsidRPr="00531DB2" w:rsidRDefault="009866B9" w:rsidP="009866B9">
              <w:pPr>
                <w:pStyle w:val="Bibliografa"/>
                <w:spacing w:before="0" w:beforeAutospacing="0" w:after="0" w:afterAutospacing="0"/>
                <w:ind w:left="720" w:hanging="720"/>
              </w:pPr>
              <w:proofErr w:type="spellStart"/>
              <w:r w:rsidRPr="00531DB2">
                <w:t>Theories</w:t>
              </w:r>
              <w:proofErr w:type="spellEnd"/>
              <w:r w:rsidRPr="00531DB2">
                <w:t xml:space="preserve"> </w:t>
              </w:r>
              <w:proofErr w:type="spellStart"/>
              <w:r w:rsidRPr="00531DB2">
                <w:t>of</w:t>
              </w:r>
              <w:proofErr w:type="spellEnd"/>
              <w:r w:rsidRPr="00531DB2">
                <w:t xml:space="preserve"> International </w:t>
              </w:r>
              <w:proofErr w:type="spellStart"/>
              <w:r w:rsidRPr="00531DB2">
                <w:t>Migration</w:t>
              </w:r>
              <w:proofErr w:type="spellEnd"/>
              <w:r w:rsidRPr="00531DB2">
                <w:t xml:space="preserve">: A </w:t>
              </w:r>
              <w:proofErr w:type="spellStart"/>
              <w:r w:rsidRPr="00531DB2">
                <w:t>Review</w:t>
              </w:r>
              <w:proofErr w:type="spellEnd"/>
              <w:r w:rsidRPr="00531DB2">
                <w:t xml:space="preserve"> and </w:t>
              </w:r>
              <w:proofErr w:type="spellStart"/>
              <w:r w:rsidRPr="00531DB2">
                <w:t>Appraisal</w:t>
              </w:r>
              <w:proofErr w:type="spellEnd"/>
              <w:r w:rsidRPr="00531DB2">
                <w:t xml:space="preserve">. </w:t>
              </w:r>
              <w:proofErr w:type="spellStart"/>
              <w:r w:rsidRPr="00531DB2">
                <w:t>Population</w:t>
              </w:r>
              <w:proofErr w:type="spellEnd"/>
              <w:r w:rsidRPr="00531DB2">
                <w:t xml:space="preserve"> and </w:t>
              </w:r>
              <w:proofErr w:type="spellStart"/>
              <w:r w:rsidRPr="00531DB2">
                <w:t>Development</w:t>
              </w:r>
              <w:proofErr w:type="spellEnd"/>
              <w:r w:rsidRPr="00531DB2">
                <w:t xml:space="preserve"> </w:t>
              </w:r>
            </w:p>
            <w:p w14:paraId="4FB31760" w14:textId="75431FB2" w:rsidR="009866B9" w:rsidRPr="00531DB2" w:rsidRDefault="009866B9" w:rsidP="009866B9">
              <w:pPr>
                <w:pStyle w:val="Bibliografa"/>
                <w:spacing w:before="0" w:beforeAutospacing="0" w:after="0" w:afterAutospacing="0"/>
                <w:ind w:left="720" w:hanging="720"/>
              </w:pPr>
              <w:proofErr w:type="spellStart"/>
              <w:r w:rsidRPr="00531DB2">
                <w:t>Review</w:t>
              </w:r>
              <w:proofErr w:type="spellEnd"/>
              <w:r w:rsidRPr="00531DB2">
                <w:t>.</w:t>
              </w:r>
            </w:p>
            <w:p w14:paraId="1F51E629" w14:textId="77777777" w:rsidR="009866B9" w:rsidRPr="00531DB2" w:rsidRDefault="009866B9" w:rsidP="009866B9">
              <w:r w:rsidRPr="00531DB2">
                <w:t xml:space="preserve">Migración Colombia . (2023). Colombia, el país más solidario con la migración venezolana. </w:t>
              </w:r>
            </w:p>
            <w:p w14:paraId="16357B22" w14:textId="1D82004A" w:rsidR="009866B9" w:rsidRPr="00531DB2" w:rsidRDefault="009866B9" w:rsidP="009866B9">
              <w:r w:rsidRPr="00531DB2">
                <w:t>Migración Colombia. (2024). Informe de migrantes venezolanos en Colombia en febrero de 2024.</w:t>
              </w:r>
            </w:p>
            <w:p w14:paraId="11646E09" w14:textId="3A055DEA" w:rsidR="00BD7981" w:rsidRPr="00BD7981" w:rsidRDefault="00000000" w:rsidP="00BD7981">
              <w:pPr>
                <w:spacing w:before="0" w:beforeAutospacing="0" w:after="0" w:afterAutospacing="0"/>
              </w:pPr>
            </w:p>
          </w:sdtContent>
        </w:sdt>
      </w:sdtContent>
    </w:sdt>
    <w:sectPr w:rsidR="00BD7981" w:rsidRPr="00BD7981" w:rsidSect="00470DC2">
      <w:headerReference w:type="default" r:id="rId33"/>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Laura Sarif Rivera Sanabria" w:date="2025-10-28T15:48:00Z" w:initials="LR">
    <w:p w14:paraId="1FA4CA1E" w14:textId="77777777" w:rsidR="00F328B5" w:rsidRDefault="00637552" w:rsidP="00F328B5">
      <w:pPr>
        <w:pStyle w:val="Textocomentario"/>
        <w:jc w:val="left"/>
      </w:pPr>
      <w:r>
        <w:rPr>
          <w:rStyle w:val="Refdecomentario"/>
        </w:rPr>
        <w:annotationRef/>
      </w:r>
      <w:r w:rsidR="00F328B5">
        <w:t>Definir si la incluimos o no este análisis en el documento</w:t>
      </w:r>
    </w:p>
  </w:comment>
  <w:comment w:id="4" w:author="Maria Camila Caraballo" w:date="2025-10-27T14:13:00Z" w:initials="MC">
    <w:p w14:paraId="0D9754D7" w14:textId="0A256B80" w:rsidR="00617004" w:rsidRDefault="00617004" w:rsidP="00617004">
      <w:pPr>
        <w:pStyle w:val="Textocomentario"/>
        <w:jc w:val="left"/>
      </w:pPr>
      <w:r>
        <w:rPr>
          <w:rStyle w:val="Refdecomentario"/>
        </w:rPr>
        <w:annotationRef/>
      </w:r>
      <w:r>
        <w:fldChar w:fldCharType="begin"/>
      </w:r>
      <w:r>
        <w:instrText>HYPERLINK "mailto:mc.caraballo@uniandes.edu.co"</w:instrText>
      </w:r>
      <w:bookmarkStart w:id="5" w:name="_@_5B2A56AF1CD743508EAD6BB683A41A2FZ"/>
      <w:r>
        <w:fldChar w:fldCharType="separate"/>
      </w:r>
      <w:bookmarkEnd w:id="5"/>
      <w:r w:rsidRPr="00617004">
        <w:rPr>
          <w:rStyle w:val="Mencionar"/>
          <w:noProof/>
        </w:rPr>
        <w:t>@Maria Camila Caraballo</w:t>
      </w:r>
      <w:r>
        <w:fldChar w:fldCharType="end"/>
      </w:r>
      <w:r>
        <w:t xml:space="preserve"> Encargada de plantear la hipotesis respondiendo a estos tres puntos principales junto con la justificacion teorica del hecho estilizado</w:t>
      </w:r>
    </w:p>
  </w:comment>
  <w:comment w:id="6"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7"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8" w:author="Maria Camila Caraballo" w:date="2025-10-27T14:16:00Z" w:initials="MC">
    <w:p w14:paraId="62C8085A" w14:textId="37CCA30C" w:rsidR="005A3B7D" w:rsidRDefault="005A3B7D" w:rsidP="005A3B7D">
      <w:pPr>
        <w:pStyle w:val="Textocomentario"/>
        <w:jc w:val="left"/>
      </w:pPr>
      <w:r>
        <w:rPr>
          <w:rStyle w:val="Refdecomentario"/>
        </w:rPr>
        <w:annotationRef/>
      </w:r>
      <w:r>
        <w:fldChar w:fldCharType="begin"/>
      </w:r>
      <w:r>
        <w:instrText>HYPERLINK "mailto:j.amayan@uniandes.edu.co"</w:instrText>
      </w:r>
      <w:bookmarkStart w:id="9" w:name="_@_4659F07D3EBC4FE2894DA3278469451AZ"/>
      <w:r>
        <w:fldChar w:fldCharType="separate"/>
      </w:r>
      <w:bookmarkEnd w:id="9"/>
      <w:r w:rsidRPr="005A3B7D">
        <w:rPr>
          <w:rStyle w:val="Mencionar"/>
          <w:noProof/>
        </w:rPr>
        <w:t>@Javier Antonio Amaya Nieto</w:t>
      </w:r>
      <w:r>
        <w:fldChar w:fldCharType="end"/>
      </w:r>
      <w:r>
        <w:t xml:space="preserve"> Plantear supuestos con base en la prueba de hipótesis discutida, realizar el calculo y presentar los resultados</w:t>
      </w:r>
    </w:p>
  </w:comment>
  <w:comment w:id="10"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11" w:name="_@_C9EDABD702E8450ABB4D83DDD1679BDBZ"/>
      <w:r>
        <w:fldChar w:fldCharType="separate"/>
      </w:r>
      <w:bookmarkEnd w:id="11"/>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2" w:name="_@_D672EBF210164869B7E0D1034AD4814DZ"/>
      <w:r>
        <w:fldChar w:fldCharType="separate"/>
      </w:r>
      <w:bookmarkEnd w:id="12"/>
      <w:r w:rsidRPr="00504A5E">
        <w:rPr>
          <w:rStyle w:val="Mencionar"/>
          <w:noProof/>
        </w:rPr>
        <w:t>@Javier Antonio Amaya Nieto</w:t>
      </w:r>
      <w:r>
        <w:fldChar w:fldCharType="end"/>
      </w:r>
      <w:r>
        <w:t xml:space="preserve"> </w:t>
      </w:r>
    </w:p>
  </w:comment>
  <w:comment w:id="13"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4" w:name="_@_306BA8237503497CADD893748CBAD510Z"/>
      <w:r>
        <w:fldChar w:fldCharType="separate"/>
      </w:r>
      <w:bookmarkEnd w:id="14"/>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5"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6" w:name="_@_2F11829F8396444688F1E32E89B4F782Z"/>
      <w:r>
        <w:fldChar w:fldCharType="separate"/>
      </w:r>
      <w:bookmarkEnd w:id="16"/>
      <w:r w:rsidRPr="00AA44A9">
        <w:rPr>
          <w:rStyle w:val="Mencionar"/>
          <w:noProof/>
        </w:rPr>
        <w:t>@Javier Antonio Amaya Nieto</w:t>
      </w:r>
      <w:r>
        <w:fldChar w:fldCharType="end"/>
      </w:r>
      <w:r>
        <w:t xml:space="preserve"> </w:t>
      </w:r>
      <w:r>
        <w:fldChar w:fldCharType="begin"/>
      </w:r>
      <w:r>
        <w:instrText>HYPERLINK "mailto:mc.caraballo@uniandes.edu.co"</w:instrText>
      </w:r>
      <w:bookmarkStart w:id="17" w:name="_@_7F2C2023D2314B6F91D16874D7EC68A6Z"/>
      <w:r>
        <w:fldChar w:fldCharType="separate"/>
      </w:r>
      <w:bookmarkEnd w:id="17"/>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8"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9" w:name="_@_C3483D689CE747C8B1D7F1BF0FE90401Z"/>
      <w:r>
        <w:fldChar w:fldCharType="separate"/>
      </w:r>
      <w:bookmarkEnd w:id="19"/>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1FA4CA1E" w15:done="0"/>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0D4958DD" w16cex:dateUtc="2025-10-28T20:48: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1FA4CA1E" w16cid:durableId="0D4958DD"/>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1C323" w14:textId="77777777" w:rsidR="00611A93" w:rsidRDefault="00611A93" w:rsidP="00470DC2">
      <w:r>
        <w:separator/>
      </w:r>
    </w:p>
  </w:endnote>
  <w:endnote w:type="continuationSeparator" w:id="0">
    <w:p w14:paraId="411A6F0D" w14:textId="77777777" w:rsidR="00611A93" w:rsidRDefault="00611A93"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B64C6" w14:textId="77777777" w:rsidR="00611A93" w:rsidRDefault="00611A93" w:rsidP="00470DC2">
      <w:r>
        <w:separator/>
      </w:r>
    </w:p>
  </w:footnote>
  <w:footnote w:type="continuationSeparator" w:id="0">
    <w:p w14:paraId="69AF8018" w14:textId="77777777" w:rsidR="00611A93" w:rsidRDefault="00611A93"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A21BB"/>
    <w:multiLevelType w:val="multilevel"/>
    <w:tmpl w:val="826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46D5F"/>
    <w:multiLevelType w:val="multilevel"/>
    <w:tmpl w:val="23D2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8168418">
    <w:abstractNumId w:val="4"/>
  </w:num>
  <w:num w:numId="2" w16cid:durableId="2112626477">
    <w:abstractNumId w:val="5"/>
  </w:num>
  <w:num w:numId="3" w16cid:durableId="1647320794">
    <w:abstractNumId w:val="0"/>
  </w:num>
  <w:num w:numId="4" w16cid:durableId="2073308244">
    <w:abstractNumId w:val="7"/>
  </w:num>
  <w:num w:numId="5" w16cid:durableId="1812213607">
    <w:abstractNumId w:val="9"/>
  </w:num>
  <w:num w:numId="6" w16cid:durableId="1527600366">
    <w:abstractNumId w:val="8"/>
  </w:num>
  <w:num w:numId="7" w16cid:durableId="122044592">
    <w:abstractNumId w:val="1"/>
  </w:num>
  <w:num w:numId="8" w16cid:durableId="547575253">
    <w:abstractNumId w:val="4"/>
    <w:lvlOverride w:ilvl="0">
      <w:startOverride w:val="1"/>
    </w:lvlOverride>
    <w:lvlOverride w:ilvl="1">
      <w:startOverride w:val="2"/>
    </w:lvlOverride>
  </w:num>
  <w:num w:numId="9" w16cid:durableId="2056348849">
    <w:abstractNumId w:val="10"/>
  </w:num>
  <w:num w:numId="10" w16cid:durableId="721560415">
    <w:abstractNumId w:val="6"/>
  </w:num>
  <w:num w:numId="11" w16cid:durableId="161049424">
    <w:abstractNumId w:val="2"/>
  </w:num>
  <w:num w:numId="12" w16cid:durableId="1671371282">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9284A"/>
    <w:rsid w:val="00092C19"/>
    <w:rsid w:val="00093982"/>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55EA9"/>
    <w:rsid w:val="0017670A"/>
    <w:rsid w:val="00183714"/>
    <w:rsid w:val="001846AC"/>
    <w:rsid w:val="0018729B"/>
    <w:rsid w:val="001934CC"/>
    <w:rsid w:val="00195DB8"/>
    <w:rsid w:val="001A6D68"/>
    <w:rsid w:val="001A7B98"/>
    <w:rsid w:val="001B23E7"/>
    <w:rsid w:val="001B3F6B"/>
    <w:rsid w:val="001B5D4A"/>
    <w:rsid w:val="001B6CB1"/>
    <w:rsid w:val="001C17A5"/>
    <w:rsid w:val="001C1C03"/>
    <w:rsid w:val="001C3801"/>
    <w:rsid w:val="001C45C2"/>
    <w:rsid w:val="001C603F"/>
    <w:rsid w:val="001D3143"/>
    <w:rsid w:val="001E600C"/>
    <w:rsid w:val="001F3395"/>
    <w:rsid w:val="001F5339"/>
    <w:rsid w:val="00201F51"/>
    <w:rsid w:val="002159EC"/>
    <w:rsid w:val="00221CE9"/>
    <w:rsid w:val="00224224"/>
    <w:rsid w:val="00227704"/>
    <w:rsid w:val="00227F14"/>
    <w:rsid w:val="002441DF"/>
    <w:rsid w:val="002451BB"/>
    <w:rsid w:val="00247580"/>
    <w:rsid w:val="002564D3"/>
    <w:rsid w:val="002567A2"/>
    <w:rsid w:val="00264695"/>
    <w:rsid w:val="002700BF"/>
    <w:rsid w:val="002746D0"/>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2F7FCD"/>
    <w:rsid w:val="00300723"/>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0202"/>
    <w:rsid w:val="003B573D"/>
    <w:rsid w:val="003C32A3"/>
    <w:rsid w:val="003C697C"/>
    <w:rsid w:val="003C7175"/>
    <w:rsid w:val="003D0D5C"/>
    <w:rsid w:val="003E2355"/>
    <w:rsid w:val="003E6447"/>
    <w:rsid w:val="003E7DAF"/>
    <w:rsid w:val="003F1C5B"/>
    <w:rsid w:val="003F2186"/>
    <w:rsid w:val="0040148A"/>
    <w:rsid w:val="00404CCD"/>
    <w:rsid w:val="00410755"/>
    <w:rsid w:val="00411882"/>
    <w:rsid w:val="00412BDA"/>
    <w:rsid w:val="00415B21"/>
    <w:rsid w:val="00416DA5"/>
    <w:rsid w:val="004176DA"/>
    <w:rsid w:val="004215C9"/>
    <w:rsid w:val="004225B4"/>
    <w:rsid w:val="00437740"/>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76F0"/>
    <w:rsid w:val="004A4459"/>
    <w:rsid w:val="004B3DB3"/>
    <w:rsid w:val="004B41A8"/>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257EF"/>
    <w:rsid w:val="00531DB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1A93"/>
    <w:rsid w:val="00612FAA"/>
    <w:rsid w:val="00617004"/>
    <w:rsid w:val="0062523A"/>
    <w:rsid w:val="00637552"/>
    <w:rsid w:val="00650A52"/>
    <w:rsid w:val="00652F22"/>
    <w:rsid w:val="00653155"/>
    <w:rsid w:val="0066344E"/>
    <w:rsid w:val="0066645C"/>
    <w:rsid w:val="00667FC2"/>
    <w:rsid w:val="006702B3"/>
    <w:rsid w:val="00670C59"/>
    <w:rsid w:val="006718B5"/>
    <w:rsid w:val="00672D84"/>
    <w:rsid w:val="00674F89"/>
    <w:rsid w:val="006805B0"/>
    <w:rsid w:val="006901E2"/>
    <w:rsid w:val="006A7AB9"/>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153"/>
    <w:rsid w:val="00706F2D"/>
    <w:rsid w:val="00715DA7"/>
    <w:rsid w:val="00722D32"/>
    <w:rsid w:val="00755591"/>
    <w:rsid w:val="007627C6"/>
    <w:rsid w:val="00771676"/>
    <w:rsid w:val="00773559"/>
    <w:rsid w:val="0079287A"/>
    <w:rsid w:val="0079797D"/>
    <w:rsid w:val="007A033E"/>
    <w:rsid w:val="007A29B5"/>
    <w:rsid w:val="007A3ABD"/>
    <w:rsid w:val="007A3CB5"/>
    <w:rsid w:val="007A77EA"/>
    <w:rsid w:val="007B0AC4"/>
    <w:rsid w:val="007B1ECD"/>
    <w:rsid w:val="007B5BFA"/>
    <w:rsid w:val="007B7AC1"/>
    <w:rsid w:val="007C1169"/>
    <w:rsid w:val="007C24DA"/>
    <w:rsid w:val="007C47F2"/>
    <w:rsid w:val="007D20D5"/>
    <w:rsid w:val="007D392A"/>
    <w:rsid w:val="007D3F74"/>
    <w:rsid w:val="007D3FE7"/>
    <w:rsid w:val="007D74BF"/>
    <w:rsid w:val="007E32B2"/>
    <w:rsid w:val="007F263A"/>
    <w:rsid w:val="007F5ABF"/>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393B"/>
    <w:rsid w:val="00896FF1"/>
    <w:rsid w:val="008A4E90"/>
    <w:rsid w:val="008A6838"/>
    <w:rsid w:val="008A745A"/>
    <w:rsid w:val="008B3EB4"/>
    <w:rsid w:val="008C4403"/>
    <w:rsid w:val="008C4F4E"/>
    <w:rsid w:val="008C51BE"/>
    <w:rsid w:val="008D1955"/>
    <w:rsid w:val="008D5422"/>
    <w:rsid w:val="008E1704"/>
    <w:rsid w:val="008E4BB9"/>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4485"/>
    <w:rsid w:val="009360DF"/>
    <w:rsid w:val="00946CA1"/>
    <w:rsid w:val="00957E01"/>
    <w:rsid w:val="00963C04"/>
    <w:rsid w:val="009866B9"/>
    <w:rsid w:val="00995992"/>
    <w:rsid w:val="0099704B"/>
    <w:rsid w:val="009972D2"/>
    <w:rsid w:val="009A2E66"/>
    <w:rsid w:val="009A6D63"/>
    <w:rsid w:val="009B550B"/>
    <w:rsid w:val="009B6DD8"/>
    <w:rsid w:val="009D2732"/>
    <w:rsid w:val="009D566F"/>
    <w:rsid w:val="009D621E"/>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A33D2"/>
    <w:rsid w:val="00AA44A9"/>
    <w:rsid w:val="00AB79F8"/>
    <w:rsid w:val="00AC3419"/>
    <w:rsid w:val="00AE170E"/>
    <w:rsid w:val="00AE2B07"/>
    <w:rsid w:val="00AF0B10"/>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3C40"/>
    <w:rsid w:val="00BF4F7C"/>
    <w:rsid w:val="00C02558"/>
    <w:rsid w:val="00C1637B"/>
    <w:rsid w:val="00C2356A"/>
    <w:rsid w:val="00C37B4B"/>
    <w:rsid w:val="00C555BC"/>
    <w:rsid w:val="00C63205"/>
    <w:rsid w:val="00C7114D"/>
    <w:rsid w:val="00C80AE4"/>
    <w:rsid w:val="00C81F08"/>
    <w:rsid w:val="00C82E08"/>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2C89"/>
    <w:rsid w:val="00D836E6"/>
    <w:rsid w:val="00D85558"/>
    <w:rsid w:val="00D9285D"/>
    <w:rsid w:val="00D9377F"/>
    <w:rsid w:val="00D9587E"/>
    <w:rsid w:val="00DB2B98"/>
    <w:rsid w:val="00DC2058"/>
    <w:rsid w:val="00DC20B8"/>
    <w:rsid w:val="00DC4C05"/>
    <w:rsid w:val="00DC6123"/>
    <w:rsid w:val="00DD7835"/>
    <w:rsid w:val="00DE287F"/>
    <w:rsid w:val="00DE7252"/>
    <w:rsid w:val="00DF6F61"/>
    <w:rsid w:val="00DF7ED2"/>
    <w:rsid w:val="00E114C1"/>
    <w:rsid w:val="00E13228"/>
    <w:rsid w:val="00E1567E"/>
    <w:rsid w:val="00E15E9D"/>
    <w:rsid w:val="00E206B5"/>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23DD"/>
    <w:rsid w:val="00EC30EE"/>
    <w:rsid w:val="00EC790C"/>
    <w:rsid w:val="00ED15C3"/>
    <w:rsid w:val="00ED56F1"/>
    <w:rsid w:val="00EE0A22"/>
    <w:rsid w:val="00EE5DE3"/>
    <w:rsid w:val="00EF3DEB"/>
    <w:rsid w:val="00EF6175"/>
    <w:rsid w:val="00F117E7"/>
    <w:rsid w:val="00F16448"/>
    <w:rsid w:val="00F27792"/>
    <w:rsid w:val="00F27964"/>
    <w:rsid w:val="00F328B5"/>
    <w:rsid w:val="00F33A95"/>
    <w:rsid w:val="00F3570B"/>
    <w:rsid w:val="00F3770B"/>
    <w:rsid w:val="00F412C3"/>
    <w:rsid w:val="00F4778D"/>
    <w:rsid w:val="00F5039E"/>
    <w:rsid w:val="00F5739A"/>
    <w:rsid w:val="00F63CEA"/>
    <w:rsid w:val="00F727E5"/>
    <w:rsid w:val="00F80CE0"/>
    <w:rsid w:val="00F87166"/>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0C1FED"/>
    <w:rPr>
      <w:rFonts w:ascii="Times New Roman" w:eastAsiaTheme="majorEastAsia" w:hAnsi="Times New Roman" w:cstheme="majorBidi"/>
      <w:color w:val="2F5496" w:themeColor="accent1" w:themeShade="BF"/>
      <w:sz w:val="28"/>
      <w:szCs w:val="28"/>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documenttasks/documenttasks1.xml><?xml version="1.0" encoding="utf-8"?>
<t:Tasks xmlns:t="http://schemas.microsoft.com/office/tasks/2019/documenttasks" xmlns:oel="http://schemas.microsoft.com/office/2019/extlst">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3.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customXml/itemProps4.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23</Pages>
  <Words>5868</Words>
  <Characters>32276</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82</cp:revision>
  <cp:lastPrinted>2025-10-20T02:24:00Z</cp:lastPrinted>
  <dcterms:created xsi:type="dcterms:W3CDTF">2025-10-20T02:23:00Z</dcterms:created>
  <dcterms:modified xsi:type="dcterms:W3CDTF">2025-10-29T19:16:00Z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