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470DC2"/>
    <w:p w14:paraId="4D7B625B" w14:textId="77777777" w:rsidR="00907514" w:rsidRPr="00672D84" w:rsidRDefault="00907514" w:rsidP="00470DC2"/>
    <w:p w14:paraId="6C5C53A4" w14:textId="77777777" w:rsidR="00907514" w:rsidRPr="00470DC2" w:rsidRDefault="00907514" w:rsidP="00470DC2">
      <w:pPr>
        <w:pStyle w:val="Sinespaciado"/>
      </w:pPr>
    </w:p>
    <w:p w14:paraId="23EE1B01" w14:textId="4F78116B" w:rsidR="000C1FED" w:rsidRPr="00755591" w:rsidRDefault="00227F14" w:rsidP="00470DC2">
      <w:pPr>
        <w:pStyle w:val="Sinespaciado"/>
      </w:pPr>
      <w:r w:rsidRPr="00755591">
        <w:t>Exploración y visualización de datos para lo socioeconómico</w:t>
      </w:r>
    </w:p>
    <w:p w14:paraId="3D7541D5" w14:textId="4C412584" w:rsidR="001F3395" w:rsidRPr="00755591" w:rsidRDefault="00227F14" w:rsidP="00470DC2">
      <w:pPr>
        <w:pStyle w:val="Sinespaciado"/>
      </w:pPr>
      <w:r w:rsidRPr="00755591">
        <w:t>Miguel Andrés Garzón</w:t>
      </w:r>
    </w:p>
    <w:p w14:paraId="1A355937" w14:textId="77777777" w:rsidR="000575EF" w:rsidRPr="00755591" w:rsidRDefault="000575EF" w:rsidP="00470DC2"/>
    <w:p w14:paraId="6F7E957A" w14:textId="77777777" w:rsidR="000575EF" w:rsidRPr="00755591" w:rsidRDefault="000575EF" w:rsidP="00470DC2"/>
    <w:p w14:paraId="42DFD372" w14:textId="77777777" w:rsidR="000575EF" w:rsidRPr="00755591" w:rsidRDefault="000575EF" w:rsidP="00470DC2"/>
    <w:p w14:paraId="17D7EFB1" w14:textId="77777777" w:rsidR="007D3FE7" w:rsidRPr="00755591"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55591" w14:paraId="337C5DB8" w14:textId="77777777" w:rsidTr="00470DC2">
        <w:tc>
          <w:tcPr>
            <w:tcW w:w="8828" w:type="dxa"/>
            <w:tcBorders>
              <w:top w:val="single" w:sz="4" w:space="0" w:color="auto"/>
              <w:left w:val="nil"/>
              <w:bottom w:val="single" w:sz="4" w:space="0" w:color="auto"/>
              <w:right w:val="nil"/>
            </w:tcBorders>
          </w:tcPr>
          <w:p w14:paraId="498FFA26" w14:textId="3B4CD813" w:rsidR="00470DC2" w:rsidRPr="00755591" w:rsidRDefault="002B4498" w:rsidP="00470DC2">
            <w:pPr>
              <w:jc w:val="center"/>
            </w:pPr>
            <w:r w:rsidRPr="00755591">
              <w:rPr>
                <w:rStyle w:val="nfasisintenso"/>
                <w:sz w:val="24"/>
                <w:szCs w:val="24"/>
              </w:rPr>
              <w:t xml:space="preserve">Taller </w:t>
            </w:r>
            <w:r w:rsidR="006D0C69" w:rsidRPr="00755591">
              <w:rPr>
                <w:rStyle w:val="nfasisintenso"/>
                <w:sz w:val="24"/>
                <w:szCs w:val="24"/>
              </w:rPr>
              <w:t>3</w:t>
            </w:r>
            <w:r w:rsidR="00DF7ED2" w:rsidRPr="00755591">
              <w:rPr>
                <w:rStyle w:val="nfasisintenso"/>
                <w:sz w:val="24"/>
                <w:szCs w:val="24"/>
              </w:rPr>
              <w:t xml:space="preserve">: </w:t>
            </w:r>
            <w:r w:rsidR="006D0C69" w:rsidRPr="00755591">
              <w:t>Pruebas de hipótesis y comparación de grupos</w:t>
            </w:r>
            <w:r w:rsidR="00D7501A" w:rsidRPr="00755591">
              <w:rPr>
                <w:rStyle w:val="Refdenotaalpie"/>
                <w:b/>
                <w:bCs/>
              </w:rPr>
              <w:footnoteReference w:id="1"/>
            </w:r>
          </w:p>
        </w:tc>
      </w:tr>
    </w:tbl>
    <w:p w14:paraId="0B407283" w14:textId="77777777" w:rsidR="000C1FED" w:rsidRPr="00755591" w:rsidRDefault="000C1FED" w:rsidP="00470DC2"/>
    <w:p w14:paraId="53C35468" w14:textId="0E0A22E1" w:rsidR="00D1144D" w:rsidRPr="00755591" w:rsidRDefault="00D1144D" w:rsidP="00470DC2"/>
    <w:p w14:paraId="35E8BA47" w14:textId="77777777" w:rsidR="00470DC2" w:rsidRPr="00755591" w:rsidRDefault="00470DC2" w:rsidP="00470DC2"/>
    <w:p w14:paraId="56505E86" w14:textId="77777777" w:rsidR="00D1144D" w:rsidRPr="00755591" w:rsidRDefault="00D1144D" w:rsidP="00470DC2"/>
    <w:p w14:paraId="66F0B4BB" w14:textId="3C3EF389" w:rsidR="000C1FED" w:rsidRPr="00755591" w:rsidRDefault="000C1FED" w:rsidP="00470DC2">
      <w:pPr>
        <w:pStyle w:val="Sinespaciado"/>
        <w:spacing w:beforeAutospacing="0" w:afterAutospacing="0"/>
        <w:rPr>
          <w:b/>
          <w:bCs/>
        </w:rPr>
      </w:pPr>
      <w:r w:rsidRPr="00755591">
        <w:rPr>
          <w:b/>
          <w:bCs/>
        </w:rPr>
        <w:t>ELABORADO POR:</w:t>
      </w:r>
    </w:p>
    <w:p w14:paraId="50A2D078" w14:textId="56119C05" w:rsidR="000C1FED" w:rsidRPr="00755591" w:rsidRDefault="00FE7C3E" w:rsidP="00470DC2">
      <w:pPr>
        <w:pStyle w:val="Sinespaciado"/>
        <w:spacing w:beforeAutospacing="0" w:afterAutospacing="0"/>
      </w:pPr>
      <w:r w:rsidRPr="00755591">
        <w:t xml:space="preserve">Laura Sarif Rivera </w:t>
      </w:r>
      <w:r w:rsidR="006D6E0C" w:rsidRPr="00755591">
        <w:t>Sanabria</w:t>
      </w:r>
    </w:p>
    <w:p w14:paraId="433A24C2" w14:textId="7C9B5011" w:rsidR="002B4498" w:rsidRPr="00755591" w:rsidRDefault="00FE7C3E" w:rsidP="00470DC2">
      <w:pPr>
        <w:pStyle w:val="Sinespaciado"/>
        <w:spacing w:beforeAutospacing="0" w:afterAutospacing="0"/>
      </w:pPr>
      <w:r w:rsidRPr="00755591">
        <w:t>María Camila Caraballo</w:t>
      </w:r>
      <w:r w:rsidR="006D6E0C" w:rsidRPr="00755591">
        <w:t xml:space="preserve"> Candela</w:t>
      </w:r>
    </w:p>
    <w:p w14:paraId="7F38A992" w14:textId="6D5B9DB9" w:rsidR="00D1144D" w:rsidRPr="00755591" w:rsidRDefault="00FE7C3E" w:rsidP="00470DC2">
      <w:pPr>
        <w:pStyle w:val="Sinespaciado"/>
        <w:spacing w:beforeAutospacing="0" w:afterAutospacing="0"/>
      </w:pPr>
      <w:r w:rsidRPr="00755591">
        <w:t xml:space="preserve">Javier Antonio Amaya </w:t>
      </w:r>
      <w:r w:rsidR="006D6E0C" w:rsidRPr="00755591">
        <w:t>Nieto</w:t>
      </w:r>
    </w:p>
    <w:p w14:paraId="03E19A46" w14:textId="2D2442FB" w:rsidR="00470DC2" w:rsidRPr="00755591" w:rsidRDefault="00470DC2">
      <w:pPr>
        <w:spacing w:before="0" w:beforeAutospacing="0" w:after="160" w:afterAutospacing="0" w:line="259" w:lineRule="auto"/>
        <w:jc w:val="left"/>
      </w:pPr>
      <w:r w:rsidRPr="00755591">
        <w:br w:type="page"/>
      </w:r>
    </w:p>
    <w:p w14:paraId="114C44FA" w14:textId="7DF24403" w:rsidR="001B23E7" w:rsidRPr="00755591" w:rsidRDefault="001B23E7" w:rsidP="00470DC2">
      <w:pPr>
        <w:rPr>
          <w:b/>
          <w:bCs/>
        </w:rPr>
      </w:pPr>
      <w:r w:rsidRPr="00755591">
        <w:rPr>
          <w:b/>
          <w:bCs/>
        </w:rPr>
        <w:lastRenderedPageBreak/>
        <w:t>Enunciado del taller</w:t>
      </w:r>
      <w:r w:rsidR="00674F89" w:rsidRPr="00755591">
        <w:rPr>
          <w:b/>
          <w:bCs/>
        </w:rPr>
        <w:t>- s</w:t>
      </w:r>
      <w:r w:rsidRPr="00755591">
        <w:rPr>
          <w:b/>
          <w:bCs/>
        </w:rPr>
        <w:t>ituación</w:t>
      </w:r>
    </w:p>
    <w:p w14:paraId="3193B974" w14:textId="50960384" w:rsidR="00520199" w:rsidRPr="00755591" w:rsidRDefault="00520199" w:rsidP="00470DC2">
      <w:r w:rsidRPr="00755591">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755591">
        <w:t>World</w:t>
      </w:r>
      <w:proofErr w:type="spellEnd"/>
      <w:r w:rsidRPr="00755591">
        <w:t xml:space="preserve"> </w:t>
      </w:r>
      <w:proofErr w:type="spellStart"/>
      <w:r w:rsidRPr="00755591">
        <w:t>Development</w:t>
      </w:r>
      <w:proofErr w:type="spellEnd"/>
      <w:r w:rsidRPr="00755591">
        <w:t xml:space="preserve"> </w:t>
      </w:r>
      <w:proofErr w:type="spellStart"/>
      <w:r w:rsidRPr="00755591">
        <w:t>Indicators</w:t>
      </w:r>
      <w:proofErr w:type="spellEnd"/>
      <w:r w:rsidRPr="00755591">
        <w:t>) y aplicar pruebas de hipótesis que permitan evaluar si las diferencias observadas son estadísticamente significativas o producto del azar muestral.</w:t>
      </w:r>
    </w:p>
    <w:p w14:paraId="5113F60F" w14:textId="493B22EF" w:rsidR="001B23E7" w:rsidRPr="00755591" w:rsidRDefault="00520199" w:rsidP="00470DC2">
      <w:r w:rsidRPr="00755591">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755591" w:rsidRDefault="00771676" w:rsidP="00470DC2">
      <w:r w:rsidRPr="00755591">
        <w:br w:type="page"/>
      </w:r>
    </w:p>
    <w:p w14:paraId="4E6BA506" w14:textId="77777777" w:rsidR="00520199" w:rsidRPr="00755591" w:rsidRDefault="001B23E7" w:rsidP="00470DC2">
      <w:pPr>
        <w:pStyle w:val="Ttulo1"/>
      </w:pPr>
      <w:bookmarkStart w:id="0" w:name="_Hlk211794100"/>
      <w:r w:rsidRPr="00755591">
        <w:lastRenderedPageBreak/>
        <w:t xml:space="preserve">Parte 1: </w:t>
      </w:r>
      <w:r w:rsidR="00520199" w:rsidRPr="00755591">
        <w:t>Planteamiento conceptual y formulación de hipótesis</w:t>
      </w:r>
    </w:p>
    <w:p w14:paraId="5AC69AD6" w14:textId="0362D8DF" w:rsidR="004D433C" w:rsidRPr="00755591" w:rsidRDefault="00363132" w:rsidP="00470DC2">
      <w:pPr>
        <w:pStyle w:val="Ttulo2"/>
      </w:pPr>
      <w:r w:rsidRPr="00755591">
        <w:t>Contextuali</w:t>
      </w:r>
      <w:r w:rsidR="004D433C" w:rsidRPr="00755591">
        <w:t>zación</w:t>
      </w:r>
      <w:r w:rsidRPr="00755591">
        <w:t xml:space="preserve"> </w:t>
      </w:r>
      <w:r w:rsidR="004D433C" w:rsidRPr="00755591">
        <w:t>d</w:t>
      </w:r>
      <w:r w:rsidRPr="00755591">
        <w:t>el problema</w:t>
      </w:r>
    </w:p>
    <w:p w14:paraId="1B0AA87B" w14:textId="7D9DA38D" w:rsidR="00546891" w:rsidRDefault="00546891" w:rsidP="00546891">
      <w:pPr>
        <w:pStyle w:val="Ttulo2"/>
        <w:numPr>
          <w:ilvl w:val="0"/>
          <w:numId w:val="0"/>
        </w:numPr>
        <w:rPr>
          <w:rFonts w:eastAsia="Times New Roman"/>
          <w:b w:val="0"/>
          <w:bCs w:val="0"/>
        </w:rPr>
      </w:pPr>
      <w:r w:rsidRPr="00546891">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Colombia ,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posterior2,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A partir de los datos de la Evaluación Conjunta de Necesidades del año 2025 (ECN2025), se observa que Cartagena de Indias es la ciudad con menor proporción de hogares que 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(Figura 1). A ello se suma la existencia de redes comunitarias que brindan apoyo en empleo y vivienda, consolidando dinámicas de arraigo que permiten aproximarse a una política pública más eficiente y de mayor impacto en términos de integración. Este patrón es consistente con la literatura sobre migraciones, que muestra cómo la combinación de oportunidades laborales </w:t>
      </w:r>
      <w:r w:rsidRPr="00546891">
        <w:rPr>
          <w:rFonts w:eastAsia="Times New Roman"/>
          <w:b w:val="0"/>
          <w:bCs w:val="0"/>
        </w:rPr>
        <w:lastRenderedPageBreak/>
        <w:t>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(Figura 2). Esta perspectiva contribuye a situar la política pública en un camino más eficiente respondiendo a necesidades inmediatas de alojamiento y servicios, mientras se sientan bases más sólidas para la inclusión social de la población migrante y refugiada.</w:t>
      </w:r>
    </w:p>
    <w:p w14:paraId="76DD9F99" w14:textId="2E4DB45D" w:rsidR="00546891" w:rsidRPr="00546891" w:rsidRDefault="00546891" w:rsidP="00546891">
      <w:r w:rsidRPr="00546891">
        <w:t xml:space="preserve">Finalmente, dado el objetivo de orientar políticas públicas de alto impacto y la disponibilidad de datos de la ECN2025, el presente análisis se focalizará geográficamente en la ciudad de Cartagena de Indias, selección que responde a la baja intención de movilidad posterior3 de los hogares migrantes, sugiriendo una mayor estabilidad residencial propicia para intervenciones a largo plazo. En este contexto, este trabajo busca responder si las carencias en el acceso a servicios básicos de los hogares migrantes en Cartagena difieren según su nivel de vulnerabilidad.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546891">
        <w:t>ii</w:t>
      </w:r>
      <w:proofErr w:type="spellEnd"/>
      <w:r w:rsidRPr="00546891">
        <w:t xml:space="preserve">) hogar monoparental, </w:t>
      </w:r>
      <w:proofErr w:type="spellStart"/>
      <w:r w:rsidRPr="00546891">
        <w:t>iii</w:t>
      </w:r>
      <w:proofErr w:type="spellEnd"/>
      <w:r w:rsidRPr="00546891">
        <w:t xml:space="preserve">) presencia de personas con discapacidad en el hogar y </w:t>
      </w:r>
      <w:proofErr w:type="spellStart"/>
      <w:r w:rsidRPr="00546891">
        <w:t>iv</w:t>
      </w:r>
      <w:proofErr w:type="spellEnd"/>
      <w:r w:rsidRPr="00546891">
        <w:t>) antecedente de violencia. Los</w:t>
      </w:r>
      <w:r>
        <w:t xml:space="preserve"> </w:t>
      </w:r>
      <w:r w:rsidRPr="00546891">
        <w:t>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033D5460" w14:textId="02EE29B7" w:rsidR="004D433C" w:rsidRPr="00755591" w:rsidRDefault="002A6561" w:rsidP="00546891">
      <w:pPr>
        <w:pStyle w:val="Ttulo2"/>
      </w:pPr>
      <w:r w:rsidRPr="00755591">
        <w:t>Estrategia empírica</w:t>
      </w:r>
      <w:r w:rsidR="00D076C2" w:rsidRPr="00755591">
        <w:t xml:space="preserve"> y formulación del contraste de hipótesis</w:t>
      </w:r>
    </w:p>
    <w:p w14:paraId="5C54152A" w14:textId="77777777" w:rsidR="004B65C7" w:rsidRPr="00546891" w:rsidRDefault="004B65C7" w:rsidP="00470DC2">
      <w:pPr>
        <w:rPr>
          <w:highlight w:val="yellow"/>
        </w:rPr>
      </w:pPr>
      <w:r w:rsidRPr="00546891">
        <w:rPr>
          <w:highlight w:val="yellow"/>
        </w:rPr>
        <w:t xml:space="preserve">Para responder a la pregunta de investigación se plantea una hipótesis </w:t>
      </w:r>
      <w:commentRangeStart w:id="1"/>
      <w:r w:rsidRPr="00546891">
        <w:rPr>
          <w:highlight w:val="yellow"/>
        </w:rPr>
        <w:t>unilateral</w:t>
      </w:r>
      <w:commentRangeEnd w:id="1"/>
      <w:r w:rsidR="00546891">
        <w:rPr>
          <w:rStyle w:val="Refdecomentario"/>
        </w:rPr>
        <w:commentReference w:id="1"/>
      </w:r>
      <w:r w:rsidRPr="00546891">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546891" w:rsidRDefault="004B65C7" w:rsidP="00470DC2">
      <w:pPr>
        <w:rPr>
          <w:highlight w:val="yellow"/>
        </w:rPr>
      </w:pPr>
      <w:r w:rsidRPr="00546891">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546891" w:rsidRDefault="00925F95" w:rsidP="00470DC2">
      <w:pPr>
        <w:rPr>
          <w:highlight w:val="yellow"/>
        </w:rPr>
      </w:pPr>
      <w:r w:rsidRPr="00546891">
        <w:rPr>
          <w:highlight w:val="yellow"/>
        </w:rPr>
        <w:t xml:space="preserve">Es así como para operacionalizar la pregunta, se deben clasificar los países en grupos discretos como ‘altos ingresos’ y ‘bajos ingresos’ </w:t>
      </w:r>
      <w:r w:rsidR="00B46DAE" w:rsidRPr="00546891">
        <w:rPr>
          <w:highlight w:val="yellow"/>
        </w:rPr>
        <w:t xml:space="preserve">y </w:t>
      </w:r>
      <w:r w:rsidR="00062C9F" w:rsidRPr="00546891">
        <w:rPr>
          <w:highlight w:val="yellow"/>
        </w:rPr>
        <w:t xml:space="preserve">la medida que proponemos para </w:t>
      </w:r>
      <w:r w:rsidR="00062C9F" w:rsidRPr="00546891">
        <w:rPr>
          <w:highlight w:val="yellow"/>
        </w:rPr>
        <w:lastRenderedPageBreak/>
        <w:t>determinar un punto de corte</w:t>
      </w:r>
      <w:r w:rsidR="00B46DAE" w:rsidRPr="00546891">
        <w:rPr>
          <w:highlight w:val="yellow"/>
        </w:rPr>
        <w:t xml:space="preserve"> sería la median</w:t>
      </w:r>
      <w:r w:rsidR="008A745A" w:rsidRPr="00546891">
        <w:rPr>
          <w:highlight w:val="yellow"/>
        </w:rPr>
        <w:t>a</w:t>
      </w:r>
      <w:r w:rsidR="00825D56" w:rsidRPr="00546891">
        <w:rPr>
          <w:highlight w:val="yellow"/>
        </w:rPr>
        <w:t xml:space="preserve">, considerando </w:t>
      </w:r>
      <w:r w:rsidR="00062C9F" w:rsidRPr="00546891">
        <w:rPr>
          <w:highlight w:val="yellow"/>
        </w:rPr>
        <w:t xml:space="preserve">la distribución sesgada a la derecha de la variable de ingreso per cápita. </w:t>
      </w:r>
    </w:p>
    <w:p w14:paraId="56EAEB4F" w14:textId="70FDEE34" w:rsidR="004B65C7" w:rsidRPr="00546891" w:rsidRDefault="00DC4C05" w:rsidP="00470DC2">
      <w:pPr>
        <w:rPr>
          <w:highlight w:val="yellow"/>
        </w:rPr>
      </w:pPr>
      <w:r w:rsidRPr="00546891">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546891">
        <w:rPr>
          <w:highlight w:val="yellow"/>
        </w:rPr>
        <w:t xml:space="preserve">on base en este objetivo, se </w:t>
      </w:r>
      <w:r w:rsidR="00480B95" w:rsidRPr="00546891">
        <w:rPr>
          <w:highlight w:val="yellow"/>
        </w:rPr>
        <w:t xml:space="preserve">formulan las siguientes hipótesis: </w:t>
      </w:r>
    </w:p>
    <w:p w14:paraId="0CD52CBF" w14:textId="3E08BA6A" w:rsidR="00480B95" w:rsidRPr="00546891"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546891"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546891" w:rsidRDefault="00480B95" w:rsidP="00470DC2">
      <w:pPr>
        <w:rPr>
          <w:highlight w:val="yellow"/>
          <w:lang w:val="en-US"/>
        </w:rPr>
      </w:pPr>
      <w:r w:rsidRPr="00546891">
        <w:rPr>
          <w:highlight w:val="yellow"/>
          <w:lang w:val="en-US"/>
        </w:rPr>
        <w:t>Donde:</w:t>
      </w:r>
    </w:p>
    <w:p w14:paraId="2459B647" w14:textId="048DCEBB" w:rsidR="00480B95" w:rsidRPr="00546891" w:rsidRDefault="00000000" w:rsidP="00470DC2">
      <w:pPr>
        <w:pStyle w:val="Prrafodelista"/>
        <w:numPr>
          <w:ilvl w:val="0"/>
          <w:numId w:val="44"/>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546891">
        <w:rPr>
          <w:highlight w:val="yellow"/>
        </w:rPr>
        <w:t>representa la media de emisiones de CO₂ per cápita en los países de altos ingresos</w:t>
      </w:r>
    </w:p>
    <w:p w14:paraId="20B28F45" w14:textId="7B011E5B" w:rsidR="00480B95" w:rsidRPr="00546891" w:rsidRDefault="00000000" w:rsidP="00470DC2">
      <w:pPr>
        <w:pStyle w:val="Prrafodelista"/>
        <w:numPr>
          <w:ilvl w:val="0"/>
          <w:numId w:val="44"/>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546891">
        <w:rPr>
          <w:highlight w:val="yellow"/>
        </w:rPr>
        <w:t>representa la media correspondiente a los países de bajos ingresos.</w:t>
      </w:r>
    </w:p>
    <w:p w14:paraId="05C9B0B5" w14:textId="4E4A3218" w:rsidR="006B32CA" w:rsidRPr="00755591" w:rsidRDefault="00825D56" w:rsidP="00470DC2">
      <w:pPr>
        <w:rPr>
          <w:rFonts w:eastAsiaTheme="minorEastAsia"/>
        </w:rPr>
      </w:pPr>
      <w:r w:rsidRPr="00546891">
        <w:rPr>
          <w:rFonts w:eastAsiaTheme="minorEastAsia"/>
          <w:highlight w:val="yellow"/>
        </w:rPr>
        <w:t>Siendo la hipótesis nula</w:t>
      </w:r>
      <w:r w:rsidR="00D076C2" w:rsidRPr="00546891">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546891">
        <w:rPr>
          <w:rFonts w:eastAsiaTheme="minorEastAsia"/>
          <w:highlight w:val="yellow"/>
        </w:rPr>
        <w:t>)</w:t>
      </w:r>
      <w:r w:rsidRPr="00546891">
        <w:rPr>
          <w:rFonts w:eastAsiaTheme="minorEastAsia"/>
          <w:highlight w:val="yellow"/>
        </w:rPr>
        <w:t xml:space="preserve"> </w:t>
      </w:r>
      <w:r w:rsidR="000E60CE" w:rsidRPr="00546891">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546891">
        <w:rPr>
          <w:rFonts w:eastAsiaTheme="minorEastAsia"/>
          <w:highlight w:val="yellow"/>
        </w:rPr>
        <w:t xml:space="preserve">Es así como la hipótesis nula en este caso establece que la </w:t>
      </w:r>
      <w:r w:rsidR="00E54C49" w:rsidRPr="00546891">
        <w:rPr>
          <w:rFonts w:eastAsiaTheme="minorEastAsia"/>
          <w:highlight w:val="yellow"/>
        </w:rPr>
        <w:t>media</w:t>
      </w:r>
      <w:r w:rsidR="008D5422" w:rsidRPr="00546891">
        <w:rPr>
          <w:rFonts w:eastAsiaTheme="minorEastAsia"/>
          <w:highlight w:val="yellow"/>
        </w:rPr>
        <w:t xml:space="preserve"> de las emisiones per cápita de los países con ingreso alto es </w:t>
      </w:r>
      <w:r w:rsidR="00A745F0" w:rsidRPr="00546891">
        <w:rPr>
          <w:rFonts w:eastAsiaTheme="minorEastAsia"/>
          <w:highlight w:val="yellow"/>
        </w:rPr>
        <w:t xml:space="preserve">menor o igual a la del grupo con ingresos bajos, determinando que </w:t>
      </w:r>
      <w:r w:rsidR="006B32CA" w:rsidRPr="00546891">
        <w:rPr>
          <w:rFonts w:eastAsiaTheme="minorEastAsia"/>
          <w:highlight w:val="yellow"/>
        </w:rPr>
        <w:t xml:space="preserve">la riqueza no conduce a mayores emisiones. </w:t>
      </w:r>
      <w:r w:rsidR="004538D9" w:rsidRPr="00546891">
        <w:rPr>
          <w:rFonts w:eastAsiaTheme="minorEastAsia"/>
          <w:highlight w:val="yellow"/>
        </w:rPr>
        <w:t xml:space="preserve"> </w:t>
      </w:r>
      <w:r w:rsidR="006B32CA" w:rsidRPr="00546891">
        <w:rPr>
          <w:rFonts w:eastAsiaTheme="minorEastAsia"/>
          <w:highlight w:val="yellow"/>
        </w:rPr>
        <w:t>Por su parte, la hipótesis alternativa</w:t>
      </w:r>
      <w:r w:rsidR="00D076C2" w:rsidRPr="00546891">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546891">
        <w:rPr>
          <w:rFonts w:eastAsiaTheme="minorEastAsia"/>
          <w:highlight w:val="yellow"/>
        </w:rPr>
        <w:t>)</w:t>
      </w:r>
      <w:r w:rsidR="006B32CA" w:rsidRPr="00546891">
        <w:rPr>
          <w:rFonts w:eastAsiaTheme="minorEastAsia"/>
          <w:highlight w:val="yellow"/>
        </w:rPr>
        <w:t xml:space="preserve"> representa la afirmación que como investigadores buscamos respaldar con evidencia estadística, siendo en este caso </w:t>
      </w:r>
      <w:r w:rsidR="00EC790C" w:rsidRPr="00546891">
        <w:rPr>
          <w:rFonts w:eastAsiaTheme="minorEastAsia"/>
          <w:highlight w:val="yellow"/>
        </w:rPr>
        <w:t xml:space="preserve">la afirmación de que los países de ingreso alto tienen en efecto una </w:t>
      </w:r>
      <w:r w:rsidR="00E54C49" w:rsidRPr="00546891">
        <w:rPr>
          <w:rFonts w:eastAsiaTheme="minorEastAsia"/>
          <w:highlight w:val="yellow"/>
        </w:rPr>
        <w:t>media</w:t>
      </w:r>
      <w:r w:rsidR="00EC790C" w:rsidRPr="00546891">
        <w:rPr>
          <w:rFonts w:eastAsiaTheme="minorEastAsia"/>
          <w:highlight w:val="yellow"/>
        </w:rPr>
        <w:t xml:space="preserve"> de emisiones de </w:t>
      </w:r>
      <w:r w:rsidR="00EC790C" w:rsidRPr="00546891">
        <w:rPr>
          <w:highlight w:val="yellow"/>
        </w:rPr>
        <w:t>CO₂ per cápita significativamente mayor que la de los países de ingreso bajo.</w:t>
      </w:r>
      <w:r w:rsidR="00EC790C" w:rsidRPr="00755591">
        <w:t xml:space="preserve"> </w:t>
      </w:r>
    </w:p>
    <w:p w14:paraId="78A17A31" w14:textId="77777777" w:rsidR="00520199" w:rsidRPr="00755591" w:rsidRDefault="000F0744" w:rsidP="00F80CE0">
      <w:pPr>
        <w:pStyle w:val="Ttulo1"/>
      </w:pPr>
      <w:r w:rsidRPr="00755591">
        <w:t xml:space="preserve">Parte 2: </w:t>
      </w:r>
      <w:r w:rsidR="00520199" w:rsidRPr="00755591">
        <w:t>Evidencia empírica y estimación</w:t>
      </w:r>
    </w:p>
    <w:p w14:paraId="591E2B18" w14:textId="3CC2762F" w:rsidR="0013023F" w:rsidRPr="00755591" w:rsidRDefault="00546891" w:rsidP="00546891">
      <w:pPr>
        <w:rPr>
          <w:rFonts w:eastAsia="Helvetica"/>
        </w:rPr>
      </w:pPr>
      <w:r w:rsidRPr="00546891">
        <w:rPr>
          <w:rFonts w:eastAsia="Helvetica"/>
        </w:rPr>
        <w:t xml:space="preserve">Describa el diseño del contraste </w:t>
      </w:r>
      <w:proofErr w:type="spellStart"/>
      <w:r w:rsidRPr="00546891">
        <w:rPr>
          <w:rFonts w:eastAsia="Helvetica"/>
        </w:rPr>
        <w:t>estadísJco</w:t>
      </w:r>
      <w:proofErr w:type="spellEnd"/>
      <w:r w:rsidRPr="00546891">
        <w:rPr>
          <w:rFonts w:eastAsia="Helvetica"/>
        </w:rPr>
        <w:t xml:space="preserve"> 1. Seleccione la prueba de acuerdo con la situación (por ejemplo, prueba t de diferencia de medias, prueba de proporciones, etc.) 2. Explique brevemente qué se está comparando y cuál sería la </w:t>
      </w:r>
      <w:proofErr w:type="spellStart"/>
      <w:r w:rsidRPr="00546891">
        <w:rPr>
          <w:rFonts w:eastAsia="Helvetica"/>
        </w:rPr>
        <w:t>expectaJva</w:t>
      </w:r>
      <w:proofErr w:type="spellEnd"/>
      <w:r w:rsidRPr="00546891">
        <w:rPr>
          <w:rFonts w:eastAsia="Helvetica"/>
        </w:rPr>
        <w:t xml:space="preserve"> teórica o empírica según el hecho </w:t>
      </w:r>
      <w:proofErr w:type="spellStart"/>
      <w:r w:rsidRPr="00546891">
        <w:rPr>
          <w:rFonts w:eastAsia="Helvetica"/>
        </w:rPr>
        <w:t>esJlizado</w:t>
      </w:r>
      <w:proofErr w:type="spellEnd"/>
      <w:r w:rsidRPr="00546891">
        <w:rPr>
          <w:rFonts w:eastAsia="Helvetica"/>
        </w:rPr>
        <w:t xml:space="preserve"> que se desea comprobar. 3. Señale si el contraste es bilateral o unilateral y cuál sería la dirección esperada del efecto. Esto en línea con lo encontrado en el EDA 2. Revise los supuestos y ejecute la prueba 1. Verifique las condiciones necesarias para aplicar la prueba elegida (normalidad, independencia, homogeneidad de varianzas, tamaño de muestra). En caso de que alguna condición no se cumpla, </w:t>
      </w:r>
      <w:proofErr w:type="spellStart"/>
      <w:r w:rsidRPr="00546891">
        <w:rPr>
          <w:rFonts w:eastAsia="Helvetica"/>
        </w:rPr>
        <w:t>jusJfique</w:t>
      </w:r>
      <w:proofErr w:type="spellEnd"/>
      <w:r w:rsidRPr="00546891">
        <w:rPr>
          <w:rFonts w:eastAsia="Helvetica"/>
        </w:rPr>
        <w:t xml:space="preserve"> la prueba </w:t>
      </w:r>
      <w:proofErr w:type="spellStart"/>
      <w:r w:rsidRPr="00546891">
        <w:rPr>
          <w:rFonts w:eastAsia="Helvetica"/>
        </w:rPr>
        <w:t>alternaJva</w:t>
      </w:r>
      <w:proofErr w:type="spellEnd"/>
      <w:r w:rsidRPr="00546891">
        <w:rPr>
          <w:rFonts w:eastAsia="Helvetica"/>
        </w:rPr>
        <w:t xml:space="preserve"> empleada o las transformaciones realizadas sobre los datos. 2. Ejecute la prueba y reporte los resultados relevantes: </w:t>
      </w:r>
      <w:proofErr w:type="spellStart"/>
      <w:r w:rsidRPr="00546891">
        <w:rPr>
          <w:rFonts w:eastAsia="Helvetica"/>
        </w:rPr>
        <w:t>estadísJco</w:t>
      </w:r>
      <w:proofErr w:type="spellEnd"/>
      <w:r w:rsidRPr="00546891">
        <w:rPr>
          <w:rFonts w:eastAsia="Helvetica"/>
        </w:rPr>
        <w:t xml:space="preserve"> de prueba, el intervalo de confianza </w:t>
      </w:r>
      <w:proofErr w:type="spellStart"/>
      <w:r w:rsidRPr="00546891">
        <w:rPr>
          <w:rFonts w:eastAsia="Helvetica"/>
        </w:rPr>
        <w:t>esJmado</w:t>
      </w:r>
      <w:proofErr w:type="spellEnd"/>
      <w:r w:rsidRPr="00546891">
        <w:rPr>
          <w:rFonts w:eastAsia="Helvetica"/>
        </w:rPr>
        <w:t xml:space="preserve">. 3. Reporte el p-valor de la prueba de hipótesis y explique qué significa en términos del riesgo de error </w:t>
      </w:r>
      <w:proofErr w:type="spellStart"/>
      <w:r w:rsidRPr="00546891">
        <w:rPr>
          <w:rFonts w:eastAsia="Helvetica"/>
        </w:rPr>
        <w:t>Jpo</w:t>
      </w:r>
      <w:proofErr w:type="spellEnd"/>
      <w:r w:rsidRPr="00546891">
        <w:rPr>
          <w:rFonts w:eastAsia="Helvetica"/>
        </w:rPr>
        <w:t xml:space="preserve"> I.</w:t>
      </w:r>
    </w:p>
    <w:p w14:paraId="58BE11B7" w14:textId="307A9D34" w:rsidR="00FC622D" w:rsidRPr="00FC622D" w:rsidRDefault="00E13228" w:rsidP="00FC622D">
      <w:pPr>
        <w:spacing w:after="0" w:afterAutospacing="0"/>
        <w:jc w:val="center"/>
      </w:pPr>
      <w:r w:rsidRPr="00755591">
        <w:rPr>
          <w:noProof/>
        </w:rPr>
        <w:lastRenderedPageBreak/>
        <w:drawing>
          <wp:inline distT="0" distB="0" distL="0" distR="0" wp14:anchorId="66977479" wp14:editId="377F8570">
            <wp:extent cx="4057089" cy="2716348"/>
            <wp:effectExtent l="0" t="0" r="635" b="8255"/>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732"/>
                    <a:stretch/>
                  </pic:blipFill>
                  <pic:spPr bwMode="auto">
                    <a:xfrm>
                      <a:off x="0" y="0"/>
                      <a:ext cx="4061380" cy="2719221"/>
                    </a:xfrm>
                    <a:prstGeom prst="rect">
                      <a:avLst/>
                    </a:prstGeom>
                    <a:noFill/>
                    <a:ln>
                      <a:noFill/>
                    </a:ln>
                    <a:extLst>
                      <a:ext uri="{53640926-AAD7-44D8-BBD7-CCE9431645EC}">
                        <a14:shadowObscured xmlns:a14="http://schemas.microsoft.com/office/drawing/2010/main"/>
                      </a:ext>
                    </a:extLst>
                  </pic:spPr>
                </pic:pic>
              </a:graphicData>
            </a:graphic>
          </wp:inline>
        </w:drawing>
      </w:r>
    </w:p>
    <w:p w14:paraId="0E8DB425" w14:textId="77777777" w:rsidR="00FC622D" w:rsidRPr="00755591" w:rsidRDefault="00FC622D" w:rsidP="0013023F">
      <w:pPr>
        <w:jc w:val="center"/>
        <w:rPr>
          <w:rFonts w:eastAsia="Helvetica"/>
          <w:b/>
          <w:bCs/>
        </w:rPr>
      </w:pPr>
    </w:p>
    <w:p w14:paraId="5FCB95BE" w14:textId="5AB9375C" w:rsidR="0079797D" w:rsidRPr="00755591" w:rsidRDefault="00E13228" w:rsidP="0013023F">
      <w:pPr>
        <w:jc w:val="center"/>
        <w:rPr>
          <w:rFonts w:eastAsia="Helvetica"/>
        </w:rPr>
      </w:pPr>
      <w:r w:rsidRPr="00755591">
        <w:rPr>
          <w:rFonts w:eastAsia="Helvetica"/>
          <w:b/>
          <w:bCs/>
        </w:rPr>
        <w:t>Figura 3.</w:t>
      </w:r>
      <w:r w:rsidRPr="00755591">
        <w:rPr>
          <w:rFonts w:eastAsia="Helvetica"/>
        </w:rPr>
        <w:t xml:space="preserve"> Top 10 de países- Relación entre PIB per cápita y de CO2 per cápita. Fuente: Banco Mundial. Elaboración propia.</w:t>
      </w:r>
    </w:p>
    <w:p w14:paraId="20DDD4A6" w14:textId="77777777" w:rsidR="008E1704" w:rsidRDefault="008E1704" w:rsidP="008E1704">
      <w:pPr>
        <w:spacing w:after="0" w:afterAutospacing="0"/>
        <w:jc w:val="center"/>
        <w:rPr>
          <w:b/>
          <w:bCs/>
        </w:rPr>
      </w:pPr>
      <w:r w:rsidRPr="008E1704">
        <w:rPr>
          <w:b/>
          <w:bCs/>
          <w:noProof/>
        </w:rPr>
        <w:drawing>
          <wp:inline distT="0" distB="0" distL="0" distR="0" wp14:anchorId="0BE4A8A6" wp14:editId="5746393E">
            <wp:extent cx="3608032" cy="765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3795" cy="768684"/>
                    </a:xfrm>
                    <a:prstGeom prst="rect">
                      <a:avLst/>
                    </a:prstGeom>
                  </pic:spPr>
                </pic:pic>
              </a:graphicData>
            </a:graphic>
          </wp:inline>
        </w:drawing>
      </w:r>
    </w:p>
    <w:p w14:paraId="3504C36D" w14:textId="3C0EDA69" w:rsidR="00F727E5" w:rsidRPr="008E1704" w:rsidRDefault="00F727E5" w:rsidP="008E1704">
      <w:pPr>
        <w:spacing w:before="0" w:beforeAutospacing="0"/>
        <w:rPr>
          <w:b/>
          <w:bCs/>
        </w:rPr>
      </w:pPr>
      <w:r w:rsidRPr="00F727E5">
        <w:rPr>
          <w:b/>
          <w:bCs/>
        </w:rPr>
        <w:t>Tabla 3.</w:t>
      </w:r>
      <w:r>
        <w:t xml:space="preserve"> Valores promedio de las emisiones de CO2 por grupo sin intervalos de confianza</w:t>
      </w:r>
    </w:p>
    <w:p w14:paraId="7CBDD78C" w14:textId="77777777" w:rsidR="00922F66" w:rsidRPr="00755591" w:rsidRDefault="00922F66" w:rsidP="00470DC2">
      <w:pPr>
        <w:rPr>
          <w:rStyle w:val="Textoennegrita"/>
          <w:b w:val="0"/>
          <w:bCs w:val="0"/>
        </w:rPr>
      </w:pPr>
    </w:p>
    <w:p w14:paraId="24BB8E20" w14:textId="77777777" w:rsidR="00E61480" w:rsidRDefault="00E61480" w:rsidP="00F80CE0">
      <w:pPr>
        <w:pStyle w:val="Ttulo1"/>
      </w:pPr>
      <w:r w:rsidRPr="00755591">
        <w:t>Parte 3: Interpretación y reflexión sobre la decisión estadística</w:t>
      </w:r>
    </w:p>
    <w:p w14:paraId="49EB431E" w14:textId="6DB7CA82" w:rsidR="00546891" w:rsidRPr="00546891" w:rsidRDefault="00546891" w:rsidP="00546891">
      <w:r w:rsidRPr="00546891">
        <w:t xml:space="preserve">Interpretación: 1. Verifique si el resultado de la prueba y el intervalo conducen a la misma conclusión. 2. Interprete el resultado en relación con la hipótesis nula y con el contexto del análisis 3. Explique qué implican los resultados en términos </w:t>
      </w:r>
      <w:proofErr w:type="spellStart"/>
      <w:r w:rsidRPr="00546891">
        <w:t>sustanJvos</w:t>
      </w:r>
      <w:proofErr w:type="spellEnd"/>
      <w:r w:rsidRPr="00546891">
        <w:t xml:space="preserve">: ¿qué nos dicen sobre el fenómeno estudiado? 2. Comunicación: Acompañe el resultado del contraste con una o más visualizaciones que permitan interpretar la diferencia o relación observada (por ejemplo, barras con intervalos de confianza, densidades comparadas, gráficos de dispersión con tendencia, etc.) Si ya los ya creados en el EDA son oportunos, compleméntelos e integrarlos a la </w:t>
      </w:r>
      <w:proofErr w:type="spellStart"/>
      <w:r w:rsidRPr="00546891">
        <w:t>narraJva</w:t>
      </w:r>
      <w:proofErr w:type="spellEnd"/>
      <w:r w:rsidRPr="00546891">
        <w:t xml:space="preserve"> que permite realizar la prueba de hipótesis. La </w:t>
      </w:r>
      <w:proofErr w:type="spellStart"/>
      <w:r w:rsidRPr="00546891">
        <w:t>narraJva</w:t>
      </w:r>
      <w:proofErr w:type="spellEnd"/>
      <w:r w:rsidRPr="00546891">
        <w:t xml:space="preserve"> es un breve texto de apoyo que explique lo que muestra el gráfico y cómo respalda (o no) la hipótesis planteada.</w:t>
      </w:r>
    </w:p>
    <w:bookmarkEnd w:id="0"/>
    <w:p w14:paraId="53E13DD9" w14:textId="2F967AB4" w:rsidR="00E61480" w:rsidRPr="00755591" w:rsidRDefault="00755591" w:rsidP="00131A4B">
      <w:pPr>
        <w:pStyle w:val="Ttulo2"/>
        <w:numPr>
          <w:ilvl w:val="1"/>
          <w:numId w:val="46"/>
        </w:numPr>
      </w:pPr>
      <w:r w:rsidRPr="00755591">
        <w:t>Conclusiones de la evidencia</w:t>
      </w:r>
    </w:p>
    <w:p w14:paraId="43257967" w14:textId="05951824" w:rsidR="000F3D66" w:rsidRDefault="000F3D66" w:rsidP="00470DC2">
      <w:pPr>
        <w:rPr>
          <w:rFonts w:eastAsia="Helvetica"/>
        </w:rPr>
      </w:pPr>
    </w:p>
    <w:p w14:paraId="43CBC730" w14:textId="7BA5596C" w:rsidR="00BD7981" w:rsidRDefault="00BD7981">
      <w:pPr>
        <w:spacing w:before="0" w:beforeAutospacing="0" w:after="160" w:afterAutospacing="0" w:line="259" w:lineRule="auto"/>
        <w:jc w:val="left"/>
        <w:rPr>
          <w:rFonts w:eastAsia="Helvetica"/>
        </w:rPr>
      </w:pPr>
      <w:r>
        <w:rPr>
          <w:rFonts w:eastAsia="Helvetica"/>
        </w:rPr>
        <w:lastRenderedPageBreak/>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Default="00BD7981">
          <w:pPr>
            <w:pStyle w:val="Ttulo1"/>
          </w:pPr>
          <w:r>
            <w:rPr>
              <w:lang w:val="es-ES"/>
            </w:rPr>
            <w:t>Referencias</w:t>
          </w:r>
        </w:p>
        <w:sdt>
          <w:sdtPr>
            <w:id w:val="-573587230"/>
            <w:bibliography/>
          </w:sdtPr>
          <w:sdtContent>
            <w:p w14:paraId="4FB31760" w14:textId="77777777" w:rsidR="00BD7981" w:rsidRPr="00BD7981" w:rsidRDefault="00BD7981" w:rsidP="00BD7981">
              <w:pPr>
                <w:pStyle w:val="Bibliografa"/>
                <w:spacing w:before="0" w:beforeAutospacing="0" w:after="0" w:afterAutospacing="0"/>
                <w:ind w:left="720" w:hanging="720"/>
                <w:rPr>
                  <w:noProof/>
                  <w:lang w:val="en-US"/>
                </w:rPr>
              </w:pPr>
              <w:r>
                <w:fldChar w:fldCharType="begin"/>
              </w:r>
              <w:r>
                <w:instrText>BIBLIOGRAPHY</w:instrText>
              </w:r>
              <w:r>
                <w:fldChar w:fldCharType="separate"/>
              </w:r>
              <w:r>
                <w:rPr>
                  <w:noProof/>
                  <w:lang w:val="es-ES"/>
                </w:rPr>
                <w:t xml:space="preserve">Banco Mundial. (18 de Octubre de 2025). </w:t>
              </w:r>
              <w:r w:rsidRPr="00BD7981">
                <w:rPr>
                  <w:i/>
                  <w:iCs/>
                  <w:noProof/>
                  <w:lang w:val="en-US"/>
                </w:rPr>
                <w:t>World Development Indicators</w:t>
              </w:r>
              <w:r w:rsidRPr="00BD7981">
                <w:rPr>
                  <w:noProof/>
                  <w:lang w:val="en-US"/>
                </w:rPr>
                <w:t>.</w:t>
              </w:r>
            </w:p>
            <w:p w14:paraId="24948EF3"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Dong, K., Hochman, G., Zhang, Y., Sun, R., Li, H., &amp; Liao, H. (2018). CO₂ emissions, economic and population growth, and renewable energy: Empirical evidence across regions. </w:t>
              </w:r>
              <w:r w:rsidRPr="00BD7981">
                <w:rPr>
                  <w:i/>
                  <w:iCs/>
                  <w:noProof/>
                  <w:lang w:val="en-US"/>
                </w:rPr>
                <w:t>Energy Economics</w:t>
              </w:r>
              <w:r w:rsidRPr="00BD7981">
                <w:rPr>
                  <w:noProof/>
                  <w:lang w:val="en-US"/>
                </w:rPr>
                <w:t>.</w:t>
              </w:r>
            </w:p>
            <w:p w14:paraId="723CC848"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Kasman, A., &amp; Selman, Y. (2015). CO₂ emissions, economic growth, energy consumption, trade and urbanization in new EU member and candidate countries: A panel data analysis. </w:t>
              </w:r>
              <w:r w:rsidRPr="00BD7981">
                <w:rPr>
                  <w:i/>
                  <w:iCs/>
                  <w:noProof/>
                  <w:lang w:val="en-US"/>
                </w:rPr>
                <w:t>Economic Modelling</w:t>
              </w:r>
              <w:r w:rsidRPr="00BD7981">
                <w:rPr>
                  <w:noProof/>
                  <w:lang w:val="en-US"/>
                </w:rPr>
                <w:t>.</w:t>
              </w:r>
            </w:p>
            <w:p w14:paraId="20DC615A"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Kuznets, S. (1955). Economic growth and income inequality. </w:t>
              </w:r>
              <w:r w:rsidRPr="00BD7981">
                <w:rPr>
                  <w:i/>
                  <w:iCs/>
                  <w:noProof/>
                  <w:lang w:val="en-US"/>
                </w:rPr>
                <w:t>The American Economic Review</w:t>
              </w:r>
              <w:r w:rsidRPr="00BD7981">
                <w:rPr>
                  <w:noProof/>
                  <w:lang w:val="en-US"/>
                </w:rPr>
                <w:t>.</w:t>
              </w:r>
            </w:p>
            <w:p w14:paraId="418F8273" w14:textId="77777777" w:rsidR="00BD7981" w:rsidRPr="00BD7981" w:rsidRDefault="00BD7981" w:rsidP="00BD7981">
              <w:pPr>
                <w:pStyle w:val="Bibliografa"/>
                <w:spacing w:before="0" w:beforeAutospacing="0" w:after="0" w:afterAutospacing="0"/>
                <w:ind w:left="720" w:hanging="720"/>
                <w:rPr>
                  <w:noProof/>
                </w:rPr>
              </w:pPr>
              <w:r>
                <w:rPr>
                  <w:noProof/>
                  <w:lang w:val="en-US"/>
                </w:rPr>
                <w:t xml:space="preserve">Massey, D., Arango, J., Graeme, H., Kouaouci, A., Pellegrino, A., &amp; Taylor, E. (1993). Theories of International Migration: A Review and Appraisal. </w:t>
              </w:r>
              <w:r w:rsidRPr="00BD7981">
                <w:rPr>
                  <w:i/>
                  <w:iCs/>
                  <w:noProof/>
                </w:rPr>
                <w:t>Population and Development Review</w:t>
              </w:r>
              <w:r w:rsidRPr="00BD7981">
                <w:rPr>
                  <w:noProof/>
                </w:rPr>
                <w:t>.</w:t>
              </w:r>
            </w:p>
            <w:p w14:paraId="398C5DEE" w14:textId="77777777" w:rsidR="00BD7981" w:rsidRDefault="00BD7981" w:rsidP="00BD7981">
              <w:pPr>
                <w:pStyle w:val="Bibliografa"/>
                <w:spacing w:before="0" w:beforeAutospacing="0" w:after="0" w:afterAutospacing="0"/>
                <w:ind w:left="720" w:hanging="720"/>
                <w:rPr>
                  <w:noProof/>
                  <w:lang w:val="es-ES"/>
                </w:rPr>
              </w:pPr>
              <w:r>
                <w:rPr>
                  <w:noProof/>
                  <w:lang w:val="es-ES"/>
                </w:rPr>
                <w:t xml:space="preserve">Migración Colombia . (2023). </w:t>
              </w:r>
              <w:r>
                <w:rPr>
                  <w:i/>
                  <w:iCs/>
                  <w:noProof/>
                  <w:lang w:val="es-ES"/>
                </w:rPr>
                <w:t>Colombia, el país más solidario con la migración venezolana.</w:t>
              </w:r>
              <w:r>
                <w:rPr>
                  <w:noProof/>
                  <w:lang w:val="es-ES"/>
                </w:rPr>
                <w:t xml:space="preserve"> </w:t>
              </w:r>
            </w:p>
            <w:p w14:paraId="58FC395E" w14:textId="77777777" w:rsidR="00BD7981" w:rsidRDefault="00BD7981" w:rsidP="00BD7981">
              <w:pPr>
                <w:pStyle w:val="Bibliografa"/>
                <w:spacing w:before="0" w:beforeAutospacing="0" w:after="0" w:afterAutospacing="0"/>
                <w:ind w:left="720" w:hanging="720"/>
                <w:rPr>
                  <w:noProof/>
                  <w:lang w:val="es-ES"/>
                </w:rPr>
              </w:pPr>
              <w:r>
                <w:rPr>
                  <w:noProof/>
                  <w:lang w:val="es-ES"/>
                </w:rPr>
                <w:t xml:space="preserve">Migración Colombia. (2024). </w:t>
              </w:r>
              <w:r>
                <w:rPr>
                  <w:i/>
                  <w:iCs/>
                  <w:noProof/>
                  <w:lang w:val="es-ES"/>
                </w:rPr>
                <w:t>Informe de migrantes venezolanos en Colombia en febrero de 2024.</w:t>
              </w:r>
              <w:r>
                <w:rPr>
                  <w:noProof/>
                  <w:lang w:val="es-ES"/>
                </w:rPr>
                <w:t xml:space="preserve"> </w:t>
              </w:r>
            </w:p>
            <w:p w14:paraId="5F31B70B"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Mitic, P., Fedajev, A., Radulescu, M., &amp; Rehman, A. (2023). The relationship between CO₂ emissions, economic growth, available energy, and employment in SEE countries. </w:t>
              </w:r>
              <w:r w:rsidRPr="00BD7981">
                <w:rPr>
                  <w:i/>
                  <w:iCs/>
                  <w:noProof/>
                  <w:lang w:val="en-US"/>
                </w:rPr>
                <w:t>Environmental Science and Pollution Research</w:t>
              </w:r>
              <w:r w:rsidRPr="00BD7981">
                <w:rPr>
                  <w:noProof/>
                  <w:lang w:val="en-US"/>
                </w:rPr>
                <w:t>.</w:t>
              </w:r>
            </w:p>
            <w:p w14:paraId="1148106B"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Monasterolo, I., Roventini , A., &amp; Foxon, T. (2019). Uncertainty of climate policies and implications for economics and finance: An evolutionary economics approach. </w:t>
              </w:r>
              <w:r w:rsidRPr="00BD7981">
                <w:rPr>
                  <w:i/>
                  <w:iCs/>
                  <w:noProof/>
                  <w:lang w:val="en-US"/>
                </w:rPr>
                <w:t>Ecological Economics</w:t>
              </w:r>
              <w:r w:rsidRPr="00BD7981">
                <w:rPr>
                  <w:noProof/>
                  <w:lang w:val="en-US"/>
                </w:rPr>
                <w:t>.</w:t>
              </w:r>
            </w:p>
            <w:p w14:paraId="14AA902C"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OECD. (2018). Compendium of Productivity Indicators. </w:t>
              </w:r>
              <w:r w:rsidRPr="00BD7981">
                <w:rPr>
                  <w:i/>
                  <w:iCs/>
                  <w:noProof/>
                  <w:lang w:val="en-US"/>
                </w:rPr>
                <w:t>OECD comunications</w:t>
              </w:r>
              <w:r w:rsidRPr="00BD7981">
                <w:rPr>
                  <w:noProof/>
                  <w:lang w:val="en-US"/>
                </w:rPr>
                <w:t>, págs. https://www.oecd.org/content/dam/oecd/en/publications/reports/2018/06/oecd-compendium-of-productivity-indicators-2018_g1g8e1ba/pdtvy-2018-en.pdf.</w:t>
              </w:r>
            </w:p>
            <w:p w14:paraId="6E699D68" w14:textId="77777777" w:rsidR="00BD7981" w:rsidRPr="00BD7981" w:rsidRDefault="00BD7981" w:rsidP="00BD7981">
              <w:pPr>
                <w:pStyle w:val="Bibliografa"/>
                <w:spacing w:before="0" w:beforeAutospacing="0" w:after="0" w:afterAutospacing="0"/>
                <w:ind w:left="720" w:hanging="720"/>
                <w:rPr>
                  <w:noProof/>
                  <w:lang w:val="en-US"/>
                </w:rPr>
              </w:pPr>
              <w:r w:rsidRPr="00BD7981">
                <w:rPr>
                  <w:noProof/>
                  <w:lang w:val="en-US"/>
                </w:rPr>
                <w:t xml:space="preserve">Ritchie, H. (2023). </w:t>
              </w:r>
              <w:r w:rsidRPr="00BD7981">
                <w:rPr>
                  <w:i/>
                  <w:iCs/>
                  <w:noProof/>
                  <w:lang w:val="en-US"/>
                </w:rPr>
                <w:t>Global inequalities in CO₂ emissions</w:t>
              </w:r>
              <w:r w:rsidRPr="00BD7981">
                <w:rPr>
                  <w:noProof/>
                  <w:lang w:val="en-US"/>
                </w:rPr>
                <w:t>. Obtenido de Our World in Data.</w:t>
              </w:r>
            </w:p>
            <w:p w14:paraId="64C88C2D" w14:textId="77777777" w:rsidR="00BD7981" w:rsidRPr="00BD7981" w:rsidRDefault="00BD7981" w:rsidP="00BD7981">
              <w:pPr>
                <w:pStyle w:val="Bibliografa"/>
                <w:spacing w:before="0" w:beforeAutospacing="0" w:after="0" w:afterAutospacing="0"/>
                <w:ind w:left="720" w:hanging="720"/>
                <w:rPr>
                  <w:noProof/>
                  <w:lang w:val="en-US"/>
                </w:rPr>
              </w:pPr>
              <w:r>
                <w:rPr>
                  <w:noProof/>
                  <w:lang w:val="es-ES"/>
                </w:rPr>
                <w:t xml:space="preserve">Ritchie, H., Rosado, P., &amp; Roser, M. (26 de September de 2023). </w:t>
              </w:r>
              <w:r w:rsidRPr="00BD7981">
                <w:rPr>
                  <w:noProof/>
                  <w:lang w:val="en-US"/>
                </w:rPr>
                <w:t xml:space="preserve">Per capita, national, historical: how do countries compare on CO2 metrics? </w:t>
              </w:r>
              <w:r w:rsidRPr="00BD7981">
                <w:rPr>
                  <w:i/>
                  <w:iCs/>
                  <w:noProof/>
                  <w:lang w:val="en-US"/>
                </w:rPr>
                <w:t>The World Bank</w:t>
              </w:r>
              <w:r w:rsidRPr="00BD7981">
                <w:rPr>
                  <w:noProof/>
                  <w:lang w:val="en-US"/>
                </w:rPr>
                <w:t>.</w:t>
              </w:r>
            </w:p>
            <w:p w14:paraId="7CB67BAD" w14:textId="77777777" w:rsidR="00BD7981" w:rsidRDefault="00BD7981" w:rsidP="00BD7981">
              <w:pPr>
                <w:pStyle w:val="Bibliografa"/>
                <w:spacing w:before="0" w:beforeAutospacing="0" w:after="0" w:afterAutospacing="0"/>
                <w:ind w:left="720" w:hanging="720"/>
                <w:rPr>
                  <w:noProof/>
                  <w:lang w:val="es-ES"/>
                </w:rPr>
              </w:pPr>
              <w:r w:rsidRPr="00BD7981">
                <w:rPr>
                  <w:noProof/>
                  <w:lang w:val="en-US"/>
                </w:rPr>
                <w:t xml:space="preserve">United Nations Environment Programme. (2023). </w:t>
              </w:r>
              <w:r w:rsidRPr="00BD7981">
                <w:rPr>
                  <w:i/>
                  <w:iCs/>
                  <w:noProof/>
                  <w:lang w:val="en-US"/>
                </w:rPr>
                <w:t>Emissions Gap Report 2023</w:t>
              </w:r>
              <w:r w:rsidRPr="00BD7981">
                <w:rPr>
                  <w:noProof/>
                  <w:lang w:val="en-US"/>
                </w:rPr>
                <w:t xml:space="preserve">. </w:t>
              </w:r>
              <w:r>
                <w:rPr>
                  <w:noProof/>
                  <w:lang w:val="es-ES"/>
                </w:rPr>
                <w:t>Obtenido de United Nations Environment Programme.</w:t>
              </w:r>
            </w:p>
            <w:p w14:paraId="11646E09" w14:textId="14524EB6" w:rsidR="00BD7981" w:rsidRPr="00BD7981" w:rsidRDefault="00BD7981" w:rsidP="00BD7981">
              <w:pPr>
                <w:spacing w:before="0" w:beforeAutospacing="0" w:after="0" w:afterAutospacing="0"/>
              </w:pPr>
              <w:r>
                <w:rPr>
                  <w:b/>
                  <w:bCs/>
                </w:rPr>
                <w:fldChar w:fldCharType="end"/>
              </w:r>
            </w:p>
          </w:sdtContent>
        </w:sdt>
      </w:sdtContent>
    </w:sdt>
    <w:sectPr w:rsidR="00BD7981" w:rsidRPr="00BD7981" w:rsidSect="00470DC2">
      <w:headerReference w:type="default" r:id="rId17"/>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1T11:45:00Z" w:initials="LR">
    <w:p w14:paraId="0863D103" w14:textId="77777777" w:rsidR="00546891" w:rsidRDefault="00546891" w:rsidP="00546891">
      <w:pPr>
        <w:pStyle w:val="Textocomentario"/>
        <w:jc w:val="left"/>
      </w:pPr>
      <w:r>
        <w:rPr>
          <w:rStyle w:val="Refdecomentario"/>
        </w:rPr>
        <w:annotationRef/>
      </w:r>
      <w:r>
        <w:t>Ajusta al proyecto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63D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C8BC3F" w16cex:dateUtc="2025-10-21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63D103" w16cid:durableId="10C8B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9E9DD" w14:textId="77777777" w:rsidR="00CD407B" w:rsidRDefault="00CD407B" w:rsidP="00470DC2">
      <w:r>
        <w:separator/>
      </w:r>
    </w:p>
  </w:endnote>
  <w:endnote w:type="continuationSeparator" w:id="0">
    <w:p w14:paraId="75153434" w14:textId="77777777" w:rsidR="00CD407B" w:rsidRDefault="00CD407B"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F0136" w14:textId="77777777" w:rsidR="00CD407B" w:rsidRDefault="00CD407B" w:rsidP="00470DC2">
      <w:r>
        <w:separator/>
      </w:r>
    </w:p>
  </w:footnote>
  <w:footnote w:type="continuationSeparator" w:id="0">
    <w:p w14:paraId="108DAB36" w14:textId="77777777" w:rsidR="00CD407B" w:rsidRDefault="00CD407B" w:rsidP="00470DC2">
      <w:r>
        <w:continuationSeparator/>
      </w:r>
    </w:p>
  </w:footnote>
  <w:footnote w:id="1">
    <w:p w14:paraId="0EE4072A" w14:textId="429E7136" w:rsidR="00D7501A" w:rsidRDefault="00D7501A" w:rsidP="00470DC2">
      <w:pPr>
        <w:pStyle w:val="Textonotapie"/>
      </w:pPr>
      <w:r>
        <w:rPr>
          <w:rStyle w:val="Refdenotaalpie"/>
        </w:rPr>
        <w:footnoteRef/>
      </w:r>
      <w:r w:rsidRPr="00D70DFB">
        <w:rPr>
          <w:sz w:val="16"/>
          <w:szCs w:val="16"/>
        </w:rPr>
        <w:t xml:space="preserve"> </w:t>
      </w:r>
      <w:hyperlink r:id="rId1" w:history="1">
        <w:r w:rsidR="00D70DFB" w:rsidRPr="00D70DFB">
          <w:rPr>
            <w:rStyle w:val="Hipervnculo"/>
            <w:rFonts w:eastAsiaTheme="majorEastAsia"/>
            <w:b/>
            <w:bCs/>
            <w:sz w:val="18"/>
            <w:szCs w:val="18"/>
            <w:shd w:val="clear" w:color="auto" w:fill="FFFFFF"/>
          </w:rPr>
          <w:t>https://github.com/Javier-Amaya-Nieto/StoryTelling3/tree/main</w:t>
        </w:r>
      </w:hyperlink>
      <w:r w:rsidR="00D70DFB">
        <w:rPr>
          <w:rStyle w:val="normaltextrun"/>
          <w:rFonts w:eastAsiaTheme="majorEastAsia"/>
          <w:b/>
          <w:bCs/>
          <w:color w:val="000000"/>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3913FE4"/>
    <w:multiLevelType w:val="hybridMultilevel"/>
    <w:tmpl w:val="8E456A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8"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0"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3"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691761331">
    <w:abstractNumId w:val="23"/>
  </w:num>
  <w:num w:numId="2" w16cid:durableId="1103644982">
    <w:abstractNumId w:val="3"/>
  </w:num>
  <w:num w:numId="3" w16cid:durableId="567036076">
    <w:abstractNumId w:val="4"/>
  </w:num>
  <w:num w:numId="4" w16cid:durableId="826869598">
    <w:abstractNumId w:val="24"/>
  </w:num>
  <w:num w:numId="5" w16cid:durableId="2095930240">
    <w:abstractNumId w:val="35"/>
  </w:num>
  <w:num w:numId="6" w16cid:durableId="516191018">
    <w:abstractNumId w:val="37"/>
  </w:num>
  <w:num w:numId="7" w16cid:durableId="1292250198">
    <w:abstractNumId w:val="28"/>
  </w:num>
  <w:num w:numId="8" w16cid:durableId="1479421247">
    <w:abstractNumId w:val="31"/>
  </w:num>
  <w:num w:numId="9" w16cid:durableId="2017488837">
    <w:abstractNumId w:val="9"/>
  </w:num>
  <w:num w:numId="10" w16cid:durableId="1937252191">
    <w:abstractNumId w:val="13"/>
  </w:num>
  <w:num w:numId="11" w16cid:durableId="656154051">
    <w:abstractNumId w:val="30"/>
  </w:num>
  <w:num w:numId="12" w16cid:durableId="1762604794">
    <w:abstractNumId w:val="5"/>
  </w:num>
  <w:num w:numId="13" w16cid:durableId="901213932">
    <w:abstractNumId w:val="6"/>
  </w:num>
  <w:num w:numId="14" w16cid:durableId="466817458">
    <w:abstractNumId w:val="22"/>
  </w:num>
  <w:num w:numId="15" w16cid:durableId="33489169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6165932">
    <w:abstractNumId w:val="36"/>
  </w:num>
  <w:num w:numId="17" w16cid:durableId="1465543949">
    <w:abstractNumId w:val="10"/>
  </w:num>
  <w:num w:numId="18" w16cid:durableId="1348168418">
    <w:abstractNumId w:val="18"/>
  </w:num>
  <w:num w:numId="19" w16cid:durableId="1338658759">
    <w:abstractNumId w:val="40"/>
  </w:num>
  <w:num w:numId="20" w16cid:durableId="178738692">
    <w:abstractNumId w:val="20"/>
  </w:num>
  <w:num w:numId="21" w16cid:durableId="1993832821">
    <w:abstractNumId w:val="33"/>
  </w:num>
  <w:num w:numId="22" w16cid:durableId="1898928109">
    <w:abstractNumId w:val="26"/>
  </w:num>
  <w:num w:numId="23" w16cid:durableId="1843811358">
    <w:abstractNumId w:val="14"/>
  </w:num>
  <w:num w:numId="24" w16cid:durableId="496263179">
    <w:abstractNumId w:val="41"/>
  </w:num>
  <w:num w:numId="25" w16cid:durableId="616331191">
    <w:abstractNumId w:val="34"/>
  </w:num>
  <w:num w:numId="26" w16cid:durableId="575438418">
    <w:abstractNumId w:val="11"/>
  </w:num>
  <w:num w:numId="27" w16cid:durableId="1838036038">
    <w:abstractNumId w:val="16"/>
  </w:num>
  <w:num w:numId="28" w16cid:durableId="410469167">
    <w:abstractNumId w:val="2"/>
  </w:num>
  <w:num w:numId="29" w16cid:durableId="1730957374">
    <w:abstractNumId w:val="8"/>
  </w:num>
  <w:num w:numId="30" w16cid:durableId="1276593454">
    <w:abstractNumId w:val="38"/>
  </w:num>
  <w:num w:numId="31" w16cid:durableId="449859222">
    <w:abstractNumId w:val="15"/>
  </w:num>
  <w:num w:numId="32" w16cid:durableId="890503193">
    <w:abstractNumId w:val="25"/>
  </w:num>
  <w:num w:numId="33" w16cid:durableId="1712920015">
    <w:abstractNumId w:val="32"/>
  </w:num>
  <w:num w:numId="34" w16cid:durableId="1330064421">
    <w:abstractNumId w:val="7"/>
  </w:num>
  <w:num w:numId="35" w16cid:durableId="1888487914">
    <w:abstractNumId w:val="43"/>
  </w:num>
  <w:num w:numId="36" w16cid:durableId="265113557">
    <w:abstractNumId w:val="39"/>
  </w:num>
  <w:num w:numId="37" w16cid:durableId="840007074">
    <w:abstractNumId w:val="1"/>
  </w:num>
  <w:num w:numId="38" w16cid:durableId="963194886">
    <w:abstractNumId w:val="17"/>
  </w:num>
  <w:num w:numId="39" w16cid:durableId="738792356">
    <w:abstractNumId w:val="29"/>
  </w:num>
  <w:num w:numId="40" w16cid:durableId="1379670130">
    <w:abstractNumId w:val="12"/>
  </w:num>
  <w:num w:numId="41" w16cid:durableId="2135903962">
    <w:abstractNumId w:val="27"/>
  </w:num>
  <w:num w:numId="42" w16cid:durableId="629555982">
    <w:abstractNumId w:val="42"/>
  </w:num>
  <w:num w:numId="43" w16cid:durableId="445540999">
    <w:abstractNumId w:val="21"/>
  </w:num>
  <w:num w:numId="44" w16cid:durableId="2112626477">
    <w:abstractNumId w:val="19"/>
  </w:num>
  <w:num w:numId="45" w16cid:durableId="2132429916">
    <w:abstractNumId w:val="0"/>
  </w:num>
  <w:num w:numId="46" w16cid:durableId="1409225384">
    <w:abstractNumId w:val="18"/>
    <w:lvlOverride w:ilvl="0">
      <w:startOverride w:val="3"/>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2C9F"/>
    <w:rsid w:val="00065345"/>
    <w:rsid w:val="00066561"/>
    <w:rsid w:val="0009284A"/>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6858"/>
    <w:rsid w:val="00117148"/>
    <w:rsid w:val="0013023F"/>
    <w:rsid w:val="0013083D"/>
    <w:rsid w:val="00131A4B"/>
    <w:rsid w:val="001413E9"/>
    <w:rsid w:val="00141F2C"/>
    <w:rsid w:val="00145212"/>
    <w:rsid w:val="00150F31"/>
    <w:rsid w:val="00183714"/>
    <w:rsid w:val="0018729B"/>
    <w:rsid w:val="001934CC"/>
    <w:rsid w:val="00195DB8"/>
    <w:rsid w:val="001A6D68"/>
    <w:rsid w:val="001A7B98"/>
    <w:rsid w:val="001B23E7"/>
    <w:rsid w:val="001B3F6B"/>
    <w:rsid w:val="001B6CB1"/>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303D0C"/>
    <w:rsid w:val="00305E24"/>
    <w:rsid w:val="003136D8"/>
    <w:rsid w:val="00323886"/>
    <w:rsid w:val="00333C2C"/>
    <w:rsid w:val="00354336"/>
    <w:rsid w:val="00357F3C"/>
    <w:rsid w:val="00361A36"/>
    <w:rsid w:val="00363132"/>
    <w:rsid w:val="003648A7"/>
    <w:rsid w:val="00374F32"/>
    <w:rsid w:val="00380AAE"/>
    <w:rsid w:val="003A5B63"/>
    <w:rsid w:val="003B573D"/>
    <w:rsid w:val="003C7175"/>
    <w:rsid w:val="003E2355"/>
    <w:rsid w:val="003E6447"/>
    <w:rsid w:val="003E7DAF"/>
    <w:rsid w:val="003F1C5B"/>
    <w:rsid w:val="003F2186"/>
    <w:rsid w:val="00410755"/>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10AFB"/>
    <w:rsid w:val="00510C9B"/>
    <w:rsid w:val="00520199"/>
    <w:rsid w:val="0052240A"/>
    <w:rsid w:val="00524A4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48F5"/>
    <w:rsid w:val="005B1084"/>
    <w:rsid w:val="005B1193"/>
    <w:rsid w:val="005B4921"/>
    <w:rsid w:val="005B61E1"/>
    <w:rsid w:val="005C0403"/>
    <w:rsid w:val="005C3088"/>
    <w:rsid w:val="005C40F1"/>
    <w:rsid w:val="005C68FD"/>
    <w:rsid w:val="005D2329"/>
    <w:rsid w:val="005F4B6C"/>
    <w:rsid w:val="005F64A9"/>
    <w:rsid w:val="00603B41"/>
    <w:rsid w:val="00606D0B"/>
    <w:rsid w:val="00607B30"/>
    <w:rsid w:val="00612FAA"/>
    <w:rsid w:val="0062523A"/>
    <w:rsid w:val="00650A52"/>
    <w:rsid w:val="00652F22"/>
    <w:rsid w:val="00653155"/>
    <w:rsid w:val="0066344E"/>
    <w:rsid w:val="0066645C"/>
    <w:rsid w:val="00667FC2"/>
    <w:rsid w:val="006702B3"/>
    <w:rsid w:val="00670C59"/>
    <w:rsid w:val="00672D84"/>
    <w:rsid w:val="00674F89"/>
    <w:rsid w:val="006805B0"/>
    <w:rsid w:val="006901E2"/>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F2D"/>
    <w:rsid w:val="00715DA7"/>
    <w:rsid w:val="00722D32"/>
    <w:rsid w:val="00755591"/>
    <w:rsid w:val="007627C6"/>
    <w:rsid w:val="00771676"/>
    <w:rsid w:val="00773559"/>
    <w:rsid w:val="0079797D"/>
    <w:rsid w:val="007A033E"/>
    <w:rsid w:val="007A29B5"/>
    <w:rsid w:val="007A3ABD"/>
    <w:rsid w:val="007A3CB5"/>
    <w:rsid w:val="007A77EA"/>
    <w:rsid w:val="007B0AC4"/>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25D56"/>
    <w:rsid w:val="008369C0"/>
    <w:rsid w:val="00857C6C"/>
    <w:rsid w:val="0086515F"/>
    <w:rsid w:val="0088446F"/>
    <w:rsid w:val="00891757"/>
    <w:rsid w:val="00896FF1"/>
    <w:rsid w:val="008A4E90"/>
    <w:rsid w:val="008A6838"/>
    <w:rsid w:val="008A745A"/>
    <w:rsid w:val="008B3EB4"/>
    <w:rsid w:val="008C4403"/>
    <w:rsid w:val="008C4F4E"/>
    <w:rsid w:val="008C51BE"/>
    <w:rsid w:val="008D1955"/>
    <w:rsid w:val="008D5422"/>
    <w:rsid w:val="008E1704"/>
    <w:rsid w:val="008F224D"/>
    <w:rsid w:val="00902E4C"/>
    <w:rsid w:val="0090502C"/>
    <w:rsid w:val="0090524F"/>
    <w:rsid w:val="00907514"/>
    <w:rsid w:val="00911C22"/>
    <w:rsid w:val="00915CB3"/>
    <w:rsid w:val="00921B63"/>
    <w:rsid w:val="00922F66"/>
    <w:rsid w:val="0092374D"/>
    <w:rsid w:val="00923FE5"/>
    <w:rsid w:val="009253AF"/>
    <w:rsid w:val="00925F95"/>
    <w:rsid w:val="009360DF"/>
    <w:rsid w:val="00946CA1"/>
    <w:rsid w:val="00957E01"/>
    <w:rsid w:val="00963C04"/>
    <w:rsid w:val="00995992"/>
    <w:rsid w:val="0099704B"/>
    <w:rsid w:val="009A2E66"/>
    <w:rsid w:val="009A6D63"/>
    <w:rsid w:val="009B550B"/>
    <w:rsid w:val="009B6DD8"/>
    <w:rsid w:val="009D2732"/>
    <w:rsid w:val="009E6436"/>
    <w:rsid w:val="00A01F90"/>
    <w:rsid w:val="00A031F5"/>
    <w:rsid w:val="00A124C4"/>
    <w:rsid w:val="00A16AA7"/>
    <w:rsid w:val="00A17BF4"/>
    <w:rsid w:val="00A26320"/>
    <w:rsid w:val="00A3283A"/>
    <w:rsid w:val="00A43068"/>
    <w:rsid w:val="00A4306E"/>
    <w:rsid w:val="00A46ABA"/>
    <w:rsid w:val="00A7223D"/>
    <w:rsid w:val="00A745F0"/>
    <w:rsid w:val="00A81197"/>
    <w:rsid w:val="00A87B85"/>
    <w:rsid w:val="00A9197F"/>
    <w:rsid w:val="00AA33D2"/>
    <w:rsid w:val="00AB79F8"/>
    <w:rsid w:val="00AC3419"/>
    <w:rsid w:val="00AE2B07"/>
    <w:rsid w:val="00B0670F"/>
    <w:rsid w:val="00B11252"/>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4F7C"/>
    <w:rsid w:val="00C2356A"/>
    <w:rsid w:val="00C37B4B"/>
    <w:rsid w:val="00C555BC"/>
    <w:rsid w:val="00C63205"/>
    <w:rsid w:val="00C7114D"/>
    <w:rsid w:val="00C80AE4"/>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587E"/>
    <w:rsid w:val="00DB2B98"/>
    <w:rsid w:val="00DC20B8"/>
    <w:rsid w:val="00DC4C05"/>
    <w:rsid w:val="00DE287F"/>
    <w:rsid w:val="00DE7252"/>
    <w:rsid w:val="00DF6F61"/>
    <w:rsid w:val="00DF7ED2"/>
    <w:rsid w:val="00E13228"/>
    <w:rsid w:val="00E15E9D"/>
    <w:rsid w:val="00E45B32"/>
    <w:rsid w:val="00E54C49"/>
    <w:rsid w:val="00E551A1"/>
    <w:rsid w:val="00E61480"/>
    <w:rsid w:val="00E64A77"/>
    <w:rsid w:val="00E70C13"/>
    <w:rsid w:val="00E739D0"/>
    <w:rsid w:val="00E75398"/>
    <w:rsid w:val="00E77297"/>
    <w:rsid w:val="00E856E5"/>
    <w:rsid w:val="00E87F41"/>
    <w:rsid w:val="00E90739"/>
    <w:rsid w:val="00EA5A08"/>
    <w:rsid w:val="00EB70BA"/>
    <w:rsid w:val="00EC30EE"/>
    <w:rsid w:val="00EC790C"/>
    <w:rsid w:val="00ED15C3"/>
    <w:rsid w:val="00ED56F1"/>
    <w:rsid w:val="00EE0A22"/>
    <w:rsid w:val="00EE5DE3"/>
    <w:rsid w:val="00EF3DEB"/>
    <w:rsid w:val="00EF6175"/>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622D"/>
    <w:rsid w:val="00FE364D"/>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8"/>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8"/>
      </w:numPr>
      <w:outlineLvl w:val="1"/>
    </w:pPr>
    <w:rPr>
      <w:rFonts w:eastAsia="Helvetica"/>
      <w:b/>
      <w:bCs/>
    </w:rPr>
  </w:style>
  <w:style w:type="paragraph" w:styleId="Ttulo3">
    <w:name w:val="heading 3"/>
    <w:basedOn w:val="Normal"/>
    <w:next w:val="Normal"/>
    <w:link w:val="Ttulo3C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rPr>
  </w:style>
  <w:style w:type="character" w:customStyle="1" w:styleId="Ttulo3Car">
    <w:name w:val="Título 3 Car"/>
    <w:basedOn w:val="Fuentedeprrafopredeter"/>
    <w:link w:val="Ttulo3"/>
    <w:uiPriority w:val="9"/>
    <w:semiHidden/>
    <w:rsid w:val="000C1FE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FE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FE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FED"/>
    <w:rPr>
      <w:rFonts w:eastAsiaTheme="majorEastAsia" w:cstheme="majorBidi"/>
      <w:color w:val="272727" w:themeColor="text1" w:themeTint="D8"/>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vier-Amaya-Nieto/StoryTelling3/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2.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4.xml><?xml version="1.0" encoding="utf-8"?>
<ds:datastoreItem xmlns:ds="http://schemas.openxmlformats.org/officeDocument/2006/customXml" ds:itemID="{6EC8ACFF-BCAF-4463-908E-F1BF04A93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2143</Words>
  <Characters>11789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4</cp:revision>
  <cp:lastPrinted>2025-10-20T02:24:00Z</cp:lastPrinted>
  <dcterms:created xsi:type="dcterms:W3CDTF">2025-10-20T02:23:00Z</dcterms:created>
  <dcterms:modified xsi:type="dcterms:W3CDTF">2025-10-21T16:48:00Z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