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Summary of Available Copper Rockfish Data from CDFW for th</w:t>
      </w:r>
      <w:sdt>
        <w:sdtPr>
          <w:tag w:val="goog_rdk_0"/>
        </w:sdtPr>
        <w:sdtContent>
          <w:commentRangeStart w:id="0"/>
        </w:sdtContent>
      </w:sdt>
      <w:r w:rsidDel="00000000" w:rsidR="00000000" w:rsidRPr="00000000">
        <w:rPr>
          <w:rFonts w:ascii="Arial" w:cs="Arial" w:eastAsia="Arial" w:hAnsi="Arial"/>
          <w:sz w:val="28"/>
          <w:szCs w:val="28"/>
          <w:rtl w:val="0"/>
        </w:rPr>
        <w:t xml:space="preserve">e 2023 </w:t>
      </w:r>
      <w:commentRangeEnd w:id="0"/>
      <w:r w:rsidDel="00000000" w:rsidR="00000000" w:rsidRPr="00000000">
        <w:commentReference w:id="0"/>
      </w:r>
      <w:r w:rsidDel="00000000" w:rsidR="00000000" w:rsidRPr="00000000">
        <w:rPr>
          <w:rFonts w:ascii="Arial" w:cs="Arial" w:eastAsia="Arial" w:hAnsi="Arial"/>
          <w:sz w:val="28"/>
          <w:szCs w:val="28"/>
          <w:rtl w:val="0"/>
        </w:rPr>
        <w:t xml:space="preserve">Stock Assessments</w:t>
      </w:r>
    </w:p>
    <w:p w:rsidR="00000000" w:rsidDel="00000000" w:rsidP="00000000" w:rsidRDefault="00000000" w:rsidRPr="00000000" w14:paraId="0000000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is solely intended to aid in planning and discussion purposes. Data from CDFW’s historic “Refugio Collections” are to be considered preliminary until CDFW has completed the QAQC process. This document is current as of November 11</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2022.</w:t>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Table 1a. Summary of available PR copper rockfish otoliths from CDFW Recreational sampling efforts which began in late 2021, by port complex and sex.</w:t>
      </w:r>
    </w:p>
    <w:tbl>
      <w:tblPr>
        <w:tblStyle w:val="Table1"/>
        <w:tblW w:w="5640.0" w:type="dxa"/>
        <w:jc w:val="left"/>
        <w:tblLayout w:type="fixed"/>
        <w:tblLook w:val="0400"/>
      </w:tblPr>
      <w:tblGrid>
        <w:gridCol w:w="1680"/>
        <w:gridCol w:w="960"/>
        <w:gridCol w:w="960"/>
        <w:gridCol w:w="1215"/>
        <w:gridCol w:w="825"/>
        <w:tblGridChange w:id="0">
          <w:tblGrid>
            <w:gridCol w:w="1680"/>
            <w:gridCol w:w="960"/>
            <w:gridCol w:w="960"/>
            <w:gridCol w:w="1215"/>
            <w:gridCol w:w="825"/>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Port Complex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Female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Unknown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Crescent 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Ft. Bragg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Monterey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84</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San Diego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bl>
    <w:p w:rsidR="00000000" w:rsidDel="00000000" w:rsidP="00000000" w:rsidRDefault="00000000" w:rsidRPr="00000000" w14:paraId="000000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Rule="auto"/>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rtl w:val="0"/>
        </w:rPr>
        <w:t xml:space="preserve">Table 1b. Summary of available PC copper rockfish otoliths from CDFW Recreational sampling efforts which began in late 2021, by port complex and sex.</w:t>
      </w:r>
      <w:r w:rsidDel="00000000" w:rsidR="00000000" w:rsidRPr="00000000">
        <w:rPr>
          <w:rtl w:val="0"/>
        </w:rPr>
      </w:r>
    </w:p>
    <w:tbl>
      <w:tblPr>
        <w:tblStyle w:val="Table2"/>
        <w:tblW w:w="5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15"/>
        <w:gridCol w:w="945"/>
        <w:gridCol w:w="1290"/>
        <w:gridCol w:w="780"/>
        <w:tblGridChange w:id="0">
          <w:tblGrid>
            <w:gridCol w:w="1485"/>
            <w:gridCol w:w="915"/>
            <w:gridCol w:w="945"/>
            <w:gridCol w:w="1290"/>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Port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Eureka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bl>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Rule="auto"/>
        <w:rPr>
          <w:rFonts w:ascii="Arial" w:cs="Arial" w:eastAsia="Arial" w:hAnsi="Arial"/>
        </w:rPr>
      </w:pPr>
      <w:r w:rsidDel="00000000" w:rsidR="00000000" w:rsidRPr="00000000">
        <w:rPr>
          <w:rFonts w:ascii="Arial" w:cs="Arial" w:eastAsia="Arial" w:hAnsi="Arial"/>
          <w:rtl w:val="0"/>
        </w:rPr>
        <w:t xml:space="preserve">Table 2. Summary of available copper rockfish otoliths from CRFS Voluntary Collection efforts which began in late 2021, by port complex and sex.</w:t>
      </w:r>
    </w:p>
    <w:tbl>
      <w:tblPr>
        <w:tblStyle w:val="Table3"/>
        <w:tblW w:w="5700.0" w:type="dxa"/>
        <w:jc w:val="left"/>
        <w:tblLayout w:type="fixed"/>
        <w:tblLook w:val="0400"/>
      </w:tblPr>
      <w:tblGrid>
        <w:gridCol w:w="1740"/>
        <w:gridCol w:w="960"/>
        <w:gridCol w:w="960"/>
        <w:gridCol w:w="1155"/>
        <w:gridCol w:w="885"/>
        <w:tblGridChange w:id="0">
          <w:tblGrid>
            <w:gridCol w:w="1740"/>
            <w:gridCol w:w="960"/>
            <w:gridCol w:w="960"/>
            <w:gridCol w:w="1155"/>
            <w:gridCol w:w="885"/>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Port Complex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Female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Unknown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Crescent 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Ft. Bragg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Bodega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San Francisco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Monterey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Santa Barbara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bl>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lineRule="auto"/>
        <w:rPr>
          <w:rFonts w:ascii="Arial" w:cs="Arial" w:eastAsia="Arial" w:hAnsi="Arial"/>
        </w:rPr>
      </w:pPr>
      <w:r w:rsidDel="00000000" w:rsidR="00000000" w:rsidRPr="00000000">
        <w:rPr>
          <w:rFonts w:ascii="Arial" w:cs="Arial" w:eastAsia="Arial" w:hAnsi="Arial"/>
          <w:rtl w:val="0"/>
        </w:rPr>
        <w:t xml:space="preserve">Table 3. Summary of available copper rockfish otoliths from CDFW Carcass Collections undertaken from 2018 to early 2021, by port complex and sex. These otoliths have been aged.</w:t>
      </w:r>
    </w:p>
    <w:tbl>
      <w:tblPr>
        <w:tblStyle w:val="Table4"/>
        <w:tblW w:w="6060.0" w:type="dxa"/>
        <w:jc w:val="left"/>
        <w:tblLayout w:type="fixed"/>
        <w:tblLook w:val="0400"/>
      </w:tblPr>
      <w:tblGrid>
        <w:gridCol w:w="2355"/>
        <w:gridCol w:w="765"/>
        <w:gridCol w:w="900"/>
        <w:gridCol w:w="1245"/>
        <w:gridCol w:w="795"/>
        <w:tblGridChange w:id="0">
          <w:tblGrid>
            <w:gridCol w:w="2355"/>
            <w:gridCol w:w="765"/>
            <w:gridCol w:w="900"/>
            <w:gridCol w:w="1245"/>
            <w:gridCol w:w="795"/>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Port Complex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Female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Unknown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Crescent City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San Francisco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Monterey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Morro Bay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bl>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Rule="auto"/>
        <w:rPr>
          <w:rFonts w:ascii="Arial" w:cs="Arial" w:eastAsia="Arial" w:hAnsi="Arial"/>
        </w:rPr>
      </w:pPr>
      <w:r w:rsidDel="00000000" w:rsidR="00000000" w:rsidRPr="00000000">
        <w:rPr>
          <w:rFonts w:ascii="Arial" w:cs="Arial" w:eastAsia="Arial" w:hAnsi="Arial"/>
          <w:rtl w:val="0"/>
        </w:rPr>
        <w:t xml:space="preserve">Table 4. Summary of available copper rockfish otoliths from CDFW Commercial Pilot Collections undertaken in 2019 and 2021, by port complex and sex. These otoliths have been aged.</w:t>
      </w:r>
    </w:p>
    <w:tbl>
      <w:tblPr>
        <w:tblStyle w:val="Table5"/>
        <w:tblW w:w="5505.0" w:type="dxa"/>
        <w:jc w:val="left"/>
        <w:tblLayout w:type="fixed"/>
        <w:tblLook w:val="0400"/>
      </w:tblPr>
      <w:tblGrid>
        <w:gridCol w:w="1680"/>
        <w:gridCol w:w="780"/>
        <w:gridCol w:w="930"/>
        <w:gridCol w:w="1245"/>
        <w:gridCol w:w="870"/>
        <w:tblGridChange w:id="0">
          <w:tblGrid>
            <w:gridCol w:w="1680"/>
            <w:gridCol w:w="780"/>
            <w:gridCol w:w="930"/>
            <w:gridCol w:w="1245"/>
            <w:gridCol w:w="87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Port Complex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Male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Female</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Unknown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Total</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Eureka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Morro Bay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r>
    </w:tbl>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0" w:lineRule="auto"/>
        <w:rPr>
          <w:rFonts w:ascii="Arial" w:cs="Arial" w:eastAsia="Arial" w:hAnsi="Arial"/>
          <w:u w:val="single"/>
        </w:rPr>
      </w:pPr>
      <w:r w:rsidDel="00000000" w:rsidR="00000000" w:rsidRPr="00000000">
        <w:rPr>
          <w:rFonts w:ascii="Arial" w:cs="Arial" w:eastAsia="Arial" w:hAnsi="Arial"/>
          <w:rtl w:val="0"/>
        </w:rPr>
        <w:t xml:space="preserve">Table 5. Summary of available copper rockfish otoliths from historic CDFW “</w:t>
      </w:r>
      <w:sdt>
        <w:sdtPr>
          <w:tag w:val="goog_rdk_1"/>
        </w:sdtPr>
        <w:sdtContent>
          <w:commentRangeStart w:id="1"/>
        </w:sdtContent>
      </w:sdt>
      <w:r w:rsidDel="00000000" w:rsidR="00000000" w:rsidRPr="00000000">
        <w:rPr>
          <w:rFonts w:ascii="Arial" w:cs="Arial" w:eastAsia="Arial" w:hAnsi="Arial"/>
          <w:rtl w:val="0"/>
        </w:rPr>
        <w:t xml:space="preserve">Refugio Collection”</w:t>
      </w:r>
      <w:commentRangeEnd w:id="1"/>
      <w:r w:rsidDel="00000000" w:rsidR="00000000" w:rsidRPr="00000000">
        <w:commentReference w:id="1"/>
      </w:r>
      <w:r w:rsidDel="00000000" w:rsidR="00000000" w:rsidRPr="00000000">
        <w:rPr>
          <w:rFonts w:ascii="Arial" w:cs="Arial" w:eastAsia="Arial" w:hAnsi="Arial"/>
          <w:rtl w:val="0"/>
        </w:rPr>
        <w:t xml:space="preserve"> with data between 1978 and 1987, by port complex and sex. These otoliths have been aged by CDFW staff. </w:t>
      </w:r>
      <w:r w:rsidDel="00000000" w:rsidR="00000000" w:rsidRPr="00000000">
        <w:rPr>
          <w:rFonts w:ascii="Arial" w:cs="Arial" w:eastAsia="Arial" w:hAnsi="Arial"/>
          <w:u w:val="single"/>
          <w:rtl w:val="0"/>
        </w:rPr>
        <w:t xml:space="preserve">Please note, these data are still undergoing QAQC and are solely presented here to aid in planning and discussion purposes.</w:t>
      </w:r>
    </w:p>
    <w:tbl>
      <w:tblPr>
        <w:tblStyle w:val="Table6"/>
        <w:tblW w:w="6480.0" w:type="dxa"/>
        <w:jc w:val="left"/>
        <w:tblLayout w:type="fixed"/>
        <w:tblLook w:val="0400"/>
      </w:tblPr>
      <w:tblGrid>
        <w:gridCol w:w="1080"/>
        <w:gridCol w:w="1710"/>
        <w:gridCol w:w="810"/>
        <w:gridCol w:w="945"/>
        <w:gridCol w:w="1245"/>
        <w:gridCol w:w="690"/>
        <w:tblGridChange w:id="0">
          <w:tblGrid>
            <w:gridCol w:w="1080"/>
            <w:gridCol w:w="1710"/>
            <w:gridCol w:w="810"/>
            <w:gridCol w:w="945"/>
            <w:gridCol w:w="1245"/>
            <w:gridCol w:w="690"/>
          </w:tblGrid>
        </w:tblGridChange>
      </w:tblGrid>
      <w:tr>
        <w:trPr>
          <w:cantSplit w:val="0"/>
          <w:trHeight w:val="300" w:hRule="atLeast"/>
          <w:tblHeader w:val="0"/>
        </w:trPr>
        <w:tc>
          <w:tcPr>
            <w:tcBorders>
              <w:top w:color="000000" w:space="0" w:sz="4" w:val="single"/>
              <w:left w:color="000000" w:space="0" w:sz="4" w:val="single"/>
              <w:bottom w:color="000000" w:space="0" w:sz="8"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Sector</w:t>
            </w:r>
          </w:p>
        </w:tc>
        <w:tc>
          <w:tcPr>
            <w:tcBorders>
              <w:top w:color="000000" w:space="0" w:sz="4" w:val="single"/>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0">
            <w:pPr>
              <w:spacing w:after="0" w:line="240" w:lineRule="auto"/>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Port Complex</w:t>
            </w:r>
          </w:p>
        </w:tc>
        <w:tc>
          <w:tcPr>
            <w:tcBorders>
              <w:top w:color="000000" w:space="0" w:sz="4" w:val="single"/>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Male</w:t>
            </w:r>
          </w:p>
        </w:tc>
        <w:tc>
          <w:tcPr>
            <w:tcBorders>
              <w:top w:color="000000" w:space="0" w:sz="4" w:val="single"/>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Female</w:t>
            </w:r>
          </w:p>
        </w:tc>
        <w:tc>
          <w:tcPr>
            <w:tcBorders>
              <w:top w:color="000000" w:space="0" w:sz="4" w:val="single"/>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Unknown</w:t>
            </w:r>
          </w:p>
        </w:tc>
        <w:tc>
          <w:tcPr>
            <w:tcBorders>
              <w:top w:color="000000" w:space="0" w:sz="4" w:val="single"/>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9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r>
      <w:tr>
        <w:trPr>
          <w:cantSplit w:val="0"/>
          <w:trHeight w:val="290" w:hRule="atLeast"/>
          <w:tblHeader w:val="0"/>
        </w:trPr>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Rec. PR H/L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ind w:firstLine="220"/>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In QAQC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r>
      <w:tr>
        <w:trPr>
          <w:cantSplit w:val="0"/>
          <w:trHeight w:val="290" w:hRule="atLeast"/>
          <w:tblHeader w:val="0"/>
        </w:trPr>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Monterey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r>
      <w:tr>
        <w:trPr>
          <w:cantSplit w:val="0"/>
          <w:trHeight w:val="300" w:hRule="atLeast"/>
          <w:tblHeader w:val="0"/>
        </w:trPr>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2">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Morro Bay</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A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cantSplit w:val="0"/>
          <w:trHeight w:val="290" w:hRule="atLeast"/>
          <w:tblHeader w:val="0"/>
        </w:trPr>
        <w:tc>
          <w:tcPr>
            <w:vMerge w:val="restart"/>
            <w:tcBorders>
              <w:top w:color="000000" w:space="0" w:sz="0" w:val="nil"/>
              <w:left w:color="000000" w:space="0" w:sz="4" w:val="single"/>
              <w:bottom w:color="000000" w:space="0" w:sz="8" w:val="single"/>
              <w:right w:color="000000" w:space="0" w:sz="4" w:val="single"/>
            </w:tcBorders>
            <w:shd w:fill="e7e6e6" w:val="clear"/>
            <w:vAlign w:val="center"/>
          </w:tcPr>
          <w:p w:rsidR="00000000" w:rsidDel="00000000" w:rsidP="00000000" w:rsidRDefault="00000000" w:rsidRPr="00000000" w14:paraId="000000A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Rec. Spear</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A8">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Monterey</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A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A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A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A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r>
      <w:tr>
        <w:trPr>
          <w:cantSplit w:val="0"/>
          <w:trHeight w:val="300" w:hRule="atLeast"/>
          <w:tblHeader w:val="0"/>
        </w:trPr>
        <w:tc>
          <w:tcPr>
            <w:vMerge w:val="continue"/>
            <w:tcBorders>
              <w:top w:color="000000" w:space="0" w:sz="0" w:val="nil"/>
              <w:left w:color="000000" w:space="0" w:sz="4" w:val="single"/>
              <w:bottom w:color="000000" w:space="0" w:sz="8" w:val="single"/>
              <w:right w:color="000000" w:space="0" w:sz="4" w:val="single"/>
            </w:tcBorders>
            <w:shd w:fill="e7e6e6" w:val="cle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AE">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Morro Bay</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A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B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B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B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r>
      <w:tr>
        <w:trPr>
          <w:cantSplit w:val="0"/>
          <w:trHeight w:val="290" w:hRule="atLeast"/>
          <w:tblHeader w:val="0"/>
        </w:trPr>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Comm. H/L</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after="0" w:line="240" w:lineRule="auto"/>
              <w:ind w:firstLine="220"/>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In QAQC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290" w:hRule="atLeast"/>
          <w:tblHeader w:val="0"/>
        </w:trPr>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Monterey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cantSplit w:val="0"/>
          <w:trHeight w:val="300" w:hRule="atLeast"/>
          <w:tblHeader w:val="0"/>
        </w:trPr>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0">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Morro Bay</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C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cantSplit w:val="0"/>
          <w:trHeight w:val="290" w:hRule="atLeast"/>
          <w:tblHeader w:val="0"/>
        </w:trPr>
        <w:tc>
          <w:tcPr>
            <w:vMerge w:val="restart"/>
            <w:tcBorders>
              <w:top w:color="000000" w:space="0" w:sz="0" w:val="nil"/>
              <w:left w:color="000000" w:space="0" w:sz="4" w:val="single"/>
              <w:bottom w:color="000000" w:space="0" w:sz="8" w:val="single"/>
              <w:right w:color="000000" w:space="0" w:sz="4" w:val="single"/>
            </w:tcBorders>
            <w:shd w:fill="e7e6e6" w:val="clear"/>
            <w:vAlign w:val="center"/>
          </w:tcPr>
          <w:p w:rsidR="00000000" w:rsidDel="00000000" w:rsidP="00000000" w:rsidRDefault="00000000" w:rsidRPr="00000000" w14:paraId="000000C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Research H/L</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6">
            <w:pPr>
              <w:spacing w:after="0" w:line="240" w:lineRule="auto"/>
              <w:ind w:firstLine="220"/>
              <w:jc w:val="right"/>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In QAQC</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cantSplit w:val="0"/>
          <w:trHeight w:val="290" w:hRule="atLeast"/>
          <w:tblHeader w:val="0"/>
        </w:trPr>
        <w:tc>
          <w:tcPr>
            <w:vMerge w:val="continue"/>
            <w:tcBorders>
              <w:top w:color="000000" w:space="0" w:sz="0" w:val="nil"/>
              <w:left w:color="000000" w:space="0" w:sz="4" w:val="single"/>
              <w:bottom w:color="000000" w:space="0" w:sz="8" w:val="single"/>
              <w:right w:color="000000" w:space="0" w:sz="4" w:val="single"/>
            </w:tcBorders>
            <w:shd w:fill="e7e6e6" w:val="cle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C">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Monterey</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C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shd w:fill="e7e6e6" w:val="clear"/>
            <w:vAlign w:val="bottom"/>
          </w:tcPr>
          <w:p w:rsidR="00000000" w:rsidDel="00000000" w:rsidP="00000000" w:rsidRDefault="00000000" w:rsidRPr="00000000" w14:paraId="000000D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r>
      <w:tr>
        <w:trPr>
          <w:cantSplit w:val="0"/>
          <w:trHeight w:val="300" w:hRule="atLeast"/>
          <w:tblHeader w:val="0"/>
        </w:trPr>
        <w:tc>
          <w:tcPr>
            <w:vMerge w:val="continue"/>
            <w:tcBorders>
              <w:top w:color="000000" w:space="0" w:sz="0" w:val="nil"/>
              <w:left w:color="000000" w:space="0" w:sz="4" w:val="single"/>
              <w:bottom w:color="000000" w:space="0" w:sz="8" w:val="single"/>
              <w:right w:color="000000" w:space="0" w:sz="4" w:val="single"/>
            </w:tcBorders>
            <w:shd w:fill="e7e6e6" w:val="cle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D2">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Morro Bay</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D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D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D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8" w:val="single"/>
              <w:right w:color="000000" w:space="0" w:sz="4" w:val="single"/>
            </w:tcBorders>
            <w:shd w:fill="e7e6e6" w:val="clear"/>
            <w:vAlign w:val="bottom"/>
          </w:tcPr>
          <w:p w:rsidR="00000000" w:rsidDel="00000000" w:rsidP="00000000" w:rsidRDefault="00000000" w:rsidRPr="00000000" w14:paraId="000000D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cantSplit w:val="0"/>
          <w:trHeight w:val="290" w:hRule="atLeast"/>
          <w:tblHeader w:val="0"/>
        </w:trPr>
        <w:tc>
          <w:tcPr>
            <w:vMerge w:val="restart"/>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D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Research Spear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Monterey</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203</w:t>
            </w:r>
          </w:p>
        </w:tc>
      </w:tr>
      <w:tr>
        <w:trPr>
          <w:cantSplit w:val="0"/>
          <w:trHeight w:val="300" w:hRule="atLeast"/>
          <w:tblHeader w:val="0"/>
        </w:trPr>
        <w:tc>
          <w:tcPr>
            <w:vMerge w:val="continue"/>
            <w:tcBorders>
              <w:top w:color="000000" w:space="0" w:sz="0" w:val="nil"/>
              <w:left w:color="000000" w:space="0" w:sz="4" w:val="single"/>
              <w:bottom w:color="000000" w:space="0" w:sz="8" w:val="single"/>
              <w:right w:color="000000" w:space="0" w:sz="4" w:val="single"/>
            </w:tcBorders>
            <w:shd w:fill="auto" w:val="cle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E">
            <w:pPr>
              <w:spacing w:after="0" w:line="240" w:lineRule="auto"/>
              <w:ind w:firstLine="220"/>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Morro Bay</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D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E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E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bl>
    <w:p w:rsidR="00000000" w:rsidDel="00000000" w:rsidP="00000000" w:rsidRDefault="00000000" w:rsidRPr="00000000" w14:paraId="000000E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4">
      <w:pPr>
        <w:rPr>
          <w:rFonts w:ascii="Arial" w:cs="Arial" w:eastAsia="Arial" w:hAnsi="Arial"/>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ssa Monk - NOAA Federal" w:id="1" w:date="2022-11-18T18:06:09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 also has body weight, gonad weight, maturity</w:t>
      </w:r>
    </w:p>
  </w:comment>
  <w:comment w:author="Andre Klein" w:id="0" w:date="2022-11-18T16:46:17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@melissa.monk@noaa.gov</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this file to help our discussions.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7" w15:done="0"/>
  <w15:commentEx w15:paraId="000000E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8F08E6"/>
    <w:rPr>
      <w:color w:val="0000ff"/>
      <w:u w:val="single"/>
    </w:rPr>
  </w:style>
  <w:style w:type="paragraph" w:styleId="Header">
    <w:name w:val="header"/>
    <w:basedOn w:val="Normal"/>
    <w:link w:val="HeaderChar"/>
    <w:uiPriority w:val="99"/>
    <w:unhideWhenUsed w:val="1"/>
    <w:rsid w:val="005C014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C0140"/>
  </w:style>
  <w:style w:type="paragraph" w:styleId="Footer">
    <w:name w:val="footer"/>
    <w:basedOn w:val="Normal"/>
    <w:link w:val="FooterChar"/>
    <w:uiPriority w:val="99"/>
    <w:unhideWhenUsed w:val="1"/>
    <w:rsid w:val="005C014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C014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phyBMVJ2FPlY3XP8Efi78DgDKg==">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2022-11-15T16:33:00Z</dcterms:created>
  <dc:creator>Klein, Andrew@Wildlife</dc:creator>
</cp:coreProperties>
</file>